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116AD" w14:textId="77777777" w:rsidR="00D90956" w:rsidRDefault="00D90956">
      <w:pPr>
        <w:widowControl w:val="0"/>
        <w:pBdr>
          <w:top w:val="nil"/>
          <w:left w:val="nil"/>
          <w:bottom w:val="nil"/>
          <w:right w:val="nil"/>
          <w:between w:val="nil"/>
        </w:pBdr>
        <w:spacing w:after="0"/>
      </w:pPr>
    </w:p>
    <w:p w14:paraId="512FAECF" w14:textId="77777777" w:rsidR="00D90956" w:rsidRDefault="00185F51">
      <w:pPr>
        <w:rPr>
          <w:rFonts w:ascii="Arial" w:eastAsia="Arial" w:hAnsi="Arial" w:cs="Arial"/>
          <w:b/>
          <w:sz w:val="36"/>
          <w:szCs w:val="36"/>
        </w:rPr>
      </w:pPr>
      <w:bookmarkStart w:id="0" w:name="_heading=h.17dp8vu" w:colFirst="0" w:colLast="0"/>
      <w:bookmarkEnd w:id="0"/>
      <w:r>
        <w:rPr>
          <w:rFonts w:ascii="Arial" w:eastAsia="Arial" w:hAnsi="Arial" w:cs="Arial"/>
          <w:b/>
          <w:sz w:val="36"/>
          <w:szCs w:val="36"/>
        </w:rPr>
        <w:t>Joint Schedule 1 (Definitions)</w:t>
      </w:r>
    </w:p>
    <w:p w14:paraId="2D520B60" w14:textId="77777777" w:rsidR="00D90956" w:rsidRDefault="00185F51">
      <w:pPr>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coin which that capitalised expression appears.</w:t>
      </w:r>
    </w:p>
    <w:p w14:paraId="3F8B22FD" w14:textId="77777777" w:rsidR="00D90956" w:rsidRDefault="00185F51">
      <w:pPr>
        <w:numPr>
          <w:ilvl w:val="1"/>
          <w:numId w:val="4"/>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57CA17D4" w14:textId="77777777" w:rsidR="00D90956" w:rsidRDefault="00185F51">
      <w:pPr>
        <w:numPr>
          <w:ilvl w:val="1"/>
          <w:numId w:val="4"/>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7F010AA3"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6601FB42"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7511107B"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2AB2220A"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0ED0AE15"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76B303F0"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4CAB03C0"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57BBB670"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752D0C9"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1F2090A7"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3F5A2425"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0029723E"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entering into a Contract the Relevant Authority is acting as part of the Crown; and</w:t>
      </w:r>
    </w:p>
    <w:p w14:paraId="51105CFC" w14:textId="77777777" w:rsidR="00D90956" w:rsidRDefault="00D90956">
      <w:p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p>
    <w:p w14:paraId="7BCC0CAE"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14:paraId="5E0F7555" w14:textId="77777777" w:rsidR="00D90956" w:rsidRDefault="00185F51">
      <w:pPr>
        <w:numPr>
          <w:ilvl w:val="3"/>
          <w:numId w:val="4"/>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12151D1E" w14:textId="77777777" w:rsidR="00D90956" w:rsidRDefault="00185F51">
      <w:pPr>
        <w:numPr>
          <w:ilvl w:val="3"/>
          <w:numId w:val="4"/>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4F0AB634"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68FCCC78"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453D00CB"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sz w:val="24"/>
          <w:szCs w:val="24"/>
        </w:rPr>
      </w:pPr>
      <w:r>
        <w:rPr>
          <w:rFonts w:ascii="Arial" w:eastAsia="Arial" w:hAnsi="Arial" w:cs="Arial"/>
          <w:color w:val="000000"/>
          <w:sz w:val="24"/>
          <w:szCs w:val="24"/>
        </w:rPr>
        <w:t>In each Contract, unless the context otherwise requires, the following words shall have the following meanings:</w:t>
      </w:r>
    </w:p>
    <w:p w14:paraId="5054467C" w14:textId="77777777" w:rsidR="00D90956" w:rsidRDefault="00D90956">
      <w:pPr>
        <w:keepNext/>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p>
    <w:tbl>
      <w:tblPr>
        <w:tblStyle w:val="a2"/>
        <w:tblW w:w="10033"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1"/>
        <w:gridCol w:w="7342"/>
      </w:tblGrid>
      <w:tr w:rsidR="00D90956" w14:paraId="486589F6" w14:textId="77777777">
        <w:trPr>
          <w:trHeight w:val="1161"/>
        </w:trPr>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20DB9D" w14:textId="77777777" w:rsidR="00D90956" w:rsidRDefault="00185F51">
            <w:pPr>
              <w:spacing w:before="240" w:after="240"/>
              <w:rPr>
                <w:rFonts w:ascii="Arial" w:eastAsia="Arial" w:hAnsi="Arial" w:cs="Arial"/>
                <w:b/>
                <w:sz w:val="24"/>
                <w:szCs w:val="24"/>
              </w:rPr>
            </w:pPr>
            <w:r>
              <w:rPr>
                <w:rFonts w:ascii="Arial" w:eastAsia="Arial" w:hAnsi="Arial" w:cs="Arial"/>
                <w:b/>
                <w:sz w:val="24"/>
                <w:szCs w:val="24"/>
              </w:rPr>
              <w:t>“Accelerated Further Competition”</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2395E456" w14:textId="77777777" w:rsidR="00D90956" w:rsidRDefault="00185F51">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the accelerated award of a Contract, using the Further Competition process described in Framework Schedule 7 – Call Off Award Procedure.</w:t>
            </w:r>
          </w:p>
        </w:tc>
      </w:tr>
      <w:tr w:rsidR="00D90956" w14:paraId="707EB5E5"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6A9095" w14:textId="77777777" w:rsidR="00D90956" w:rsidRDefault="00185F51">
            <w:pPr>
              <w:spacing w:before="240" w:after="240"/>
              <w:rPr>
                <w:rFonts w:ascii="Arial" w:eastAsia="Arial" w:hAnsi="Arial" w:cs="Arial"/>
                <w:b/>
                <w:sz w:val="24"/>
                <w:szCs w:val="24"/>
              </w:rPr>
            </w:pPr>
            <w:r>
              <w:rPr>
                <w:rFonts w:ascii="Arial" w:eastAsia="Arial" w:hAnsi="Arial" w:cs="Arial"/>
                <w:b/>
                <w:sz w:val="24"/>
                <w:szCs w:val="24"/>
              </w:rPr>
              <w:t>“Accessed Contracts”</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539ABBF" w14:textId="77777777" w:rsidR="00D90956" w:rsidRDefault="00185F51">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Government Frameworks which are available to the Buyer and which the Buyer can grant access to the Supplier, as per Call Off Schedule 27 Accessed Contracts and Construction Contracts</w:t>
            </w:r>
          </w:p>
        </w:tc>
      </w:tr>
      <w:tr w:rsidR="00D90956" w14:paraId="397354C5"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150787" w14:textId="77777777" w:rsidR="00D90956" w:rsidRDefault="00185F51">
            <w:pPr>
              <w:spacing w:before="240" w:after="240"/>
              <w:rPr>
                <w:rFonts w:ascii="Arial" w:eastAsia="Arial" w:hAnsi="Arial" w:cs="Arial"/>
                <w:b/>
                <w:sz w:val="24"/>
                <w:szCs w:val="24"/>
              </w:rPr>
            </w:pPr>
            <w:bookmarkStart w:id="3" w:name="_heading=h.1fob9te" w:colFirst="0" w:colLast="0"/>
            <w:bookmarkEnd w:id="3"/>
            <w:r>
              <w:rPr>
                <w:rFonts w:ascii="Arial" w:eastAsia="Arial" w:hAnsi="Arial" w:cs="Arial"/>
                <w:b/>
                <w:sz w:val="24"/>
                <w:szCs w:val="24"/>
              </w:rPr>
              <w:t>“Accounting Reference Date”</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9CEB143" w14:textId="77777777" w:rsidR="00D90956" w:rsidRDefault="00185F51">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in each year the date to which the Supplier prepares its annual audited financial statements;</w:t>
            </w:r>
          </w:p>
        </w:tc>
      </w:tr>
      <w:tr w:rsidR="00D90956" w14:paraId="435BF1D0" w14:textId="77777777">
        <w:tc>
          <w:tcPr>
            <w:tcW w:w="2691" w:type="dxa"/>
          </w:tcPr>
          <w:p w14:paraId="1887E5F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bookmarkStart w:id="4" w:name="_heading=h.efem3jhdrn5" w:colFirst="0" w:colLast="0"/>
            <w:bookmarkEnd w:id="4"/>
            <w:r>
              <w:rPr>
                <w:rFonts w:ascii="Arial" w:eastAsia="Arial" w:hAnsi="Arial" w:cs="Arial"/>
                <w:b/>
                <w:color w:val="000000"/>
                <w:sz w:val="24"/>
                <w:szCs w:val="24"/>
              </w:rPr>
              <w:t>"Achieve"</w:t>
            </w:r>
          </w:p>
        </w:tc>
        <w:tc>
          <w:tcPr>
            <w:tcW w:w="7342" w:type="dxa"/>
          </w:tcPr>
          <w:p w14:paraId="308D9A0F"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D90956" w14:paraId="746EBF1A" w14:textId="77777777">
        <w:tc>
          <w:tcPr>
            <w:tcW w:w="2691" w:type="dxa"/>
          </w:tcPr>
          <w:p w14:paraId="39589387" w14:textId="2D8F99E8"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w:t>
            </w:r>
            <w:r w:rsidR="0025339C">
              <w:rPr>
                <w:rFonts w:ascii="Arial" w:eastAsia="Arial" w:hAnsi="Arial" w:cs="Arial"/>
                <w:b/>
                <w:color w:val="000000"/>
                <w:sz w:val="24"/>
                <w:szCs w:val="24"/>
              </w:rPr>
              <w:t>Additional Insurances</w:t>
            </w:r>
            <w:r>
              <w:rPr>
                <w:rFonts w:ascii="Arial" w:eastAsia="Arial" w:hAnsi="Arial" w:cs="Arial"/>
                <w:b/>
                <w:color w:val="000000"/>
                <w:sz w:val="24"/>
                <w:szCs w:val="24"/>
              </w:rPr>
              <w:t>"</w:t>
            </w:r>
          </w:p>
        </w:tc>
        <w:tc>
          <w:tcPr>
            <w:tcW w:w="7342" w:type="dxa"/>
          </w:tcPr>
          <w:p w14:paraId="1620692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D90956" w14:paraId="7F196AE7" w14:textId="77777777">
        <w:tc>
          <w:tcPr>
            <w:tcW w:w="2691" w:type="dxa"/>
            <w:vAlign w:val="center"/>
          </w:tcPr>
          <w:p w14:paraId="57A642A7" w14:textId="77777777" w:rsidR="00D90956" w:rsidRDefault="00185F51">
            <w:pPr>
              <w:spacing w:after="120"/>
              <w:rPr>
                <w:rFonts w:ascii="Arial" w:eastAsia="Arial" w:hAnsi="Arial" w:cs="Arial"/>
                <w:b/>
                <w:sz w:val="24"/>
                <w:szCs w:val="24"/>
              </w:rPr>
            </w:pPr>
            <w:r>
              <w:rPr>
                <w:rFonts w:ascii="Arial" w:eastAsia="Arial" w:hAnsi="Arial" w:cs="Arial"/>
                <w:b/>
                <w:sz w:val="24"/>
                <w:szCs w:val="24"/>
              </w:rPr>
              <w:t>“Additional Service</w:t>
            </w:r>
          </w:p>
          <w:p w14:paraId="2057E466" w14:textId="77777777" w:rsidR="00D90956" w:rsidRDefault="00185F51">
            <w:pPr>
              <w:spacing w:after="120"/>
              <w:jc w:val="center"/>
              <w:rPr>
                <w:rFonts w:ascii="Arial" w:eastAsia="Arial" w:hAnsi="Arial" w:cs="Arial"/>
                <w:b/>
                <w:sz w:val="24"/>
                <w:szCs w:val="24"/>
              </w:rPr>
            </w:pPr>
            <w:r>
              <w:rPr>
                <w:rFonts w:ascii="Arial" w:eastAsia="Arial" w:hAnsi="Arial" w:cs="Arial"/>
                <w:b/>
                <w:sz w:val="24"/>
                <w:szCs w:val="24"/>
              </w:rPr>
              <w:t>Or</w:t>
            </w:r>
          </w:p>
          <w:p w14:paraId="66E1EDD3" w14:textId="77777777" w:rsidR="00D90956" w:rsidRDefault="00185F51">
            <w:pPr>
              <w:spacing w:after="120"/>
              <w:rPr>
                <w:rFonts w:ascii="Arial" w:eastAsia="Arial" w:hAnsi="Arial" w:cs="Arial"/>
                <w:b/>
                <w:sz w:val="24"/>
                <w:szCs w:val="24"/>
              </w:rPr>
            </w:pPr>
            <w:r>
              <w:rPr>
                <w:rFonts w:ascii="Arial" w:eastAsia="Arial" w:hAnsi="Arial" w:cs="Arial"/>
                <w:b/>
                <w:sz w:val="24"/>
                <w:szCs w:val="24"/>
              </w:rPr>
              <w:t>Additional Deliverable”</w:t>
            </w:r>
          </w:p>
        </w:tc>
        <w:tc>
          <w:tcPr>
            <w:tcW w:w="7342" w:type="dxa"/>
            <w:vAlign w:val="center"/>
          </w:tcPr>
          <w:p w14:paraId="046DB084" w14:textId="77777777" w:rsidR="00D90956" w:rsidRDefault="00185F51">
            <w:pPr>
              <w:ind w:left="284" w:right="242"/>
              <w:rPr>
                <w:rFonts w:ascii="Arial" w:eastAsia="Arial" w:hAnsi="Arial" w:cs="Arial"/>
                <w:sz w:val="24"/>
                <w:szCs w:val="24"/>
              </w:rPr>
            </w:pPr>
            <w:r>
              <w:rPr>
                <w:rFonts w:ascii="Arial" w:eastAsia="Arial" w:hAnsi="Arial" w:cs="Arial"/>
                <w:sz w:val="24"/>
                <w:szCs w:val="24"/>
              </w:rPr>
              <w:t>the Services as defined in Framework Schedule 1 – Specification that Suppliers may elect to provide under this Framework.</w:t>
            </w:r>
          </w:p>
        </w:tc>
      </w:tr>
      <w:tr w:rsidR="00D90956" w14:paraId="4A30F333" w14:textId="77777777">
        <w:tc>
          <w:tcPr>
            <w:tcW w:w="2691" w:type="dxa"/>
          </w:tcPr>
          <w:p w14:paraId="0D270D8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2E3F3715" w14:textId="77777777" w:rsidR="00D90956" w:rsidRDefault="00185F51">
            <w:pPr>
              <w:pBdr>
                <w:top w:val="nil"/>
                <w:left w:val="nil"/>
                <w:bottom w:val="nil"/>
                <w:right w:val="nil"/>
                <w:between w:val="nil"/>
              </w:pBdr>
              <w:tabs>
                <w:tab w:val="left" w:pos="-179"/>
                <w:tab w:val="left" w:pos="284"/>
              </w:tabs>
              <w:spacing w:after="120"/>
              <w:ind w:left="284" w:right="242"/>
              <w:rPr>
                <w:rFonts w:ascii="Arial" w:eastAsia="Arial" w:hAnsi="Arial" w:cs="Arial"/>
                <w:color w:val="000000"/>
                <w:sz w:val="24"/>
                <w:szCs w:val="24"/>
              </w:rPr>
            </w:pPr>
            <w:r>
              <w:rPr>
                <w:rFonts w:ascii="Arial" w:eastAsia="Arial" w:hAnsi="Arial" w:cs="Arial"/>
                <w:color w:val="000000"/>
                <w:sz w:val="24"/>
                <w:szCs w:val="24"/>
              </w:rPr>
              <w:t>the costs incurred by CCS in dealing with MI Failures calculated in accordance with the tariff of administration charges published by the CCS on: http://CCS.cabinetoffice.gov.uk/i-am-Supplier/management-information/admin-fees;</w:t>
            </w:r>
          </w:p>
        </w:tc>
      </w:tr>
      <w:tr w:rsidR="00D90956" w14:paraId="5DCD7C46" w14:textId="77777777">
        <w:tc>
          <w:tcPr>
            <w:tcW w:w="2691" w:type="dxa"/>
          </w:tcPr>
          <w:p w14:paraId="52EECBC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2E0DADB3"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D90956" w14:paraId="53982EFB" w14:textId="77777777">
        <w:tc>
          <w:tcPr>
            <w:tcW w:w="2691" w:type="dxa"/>
          </w:tcPr>
          <w:p w14:paraId="2F2577E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4B749C2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D90956" w14:paraId="3B9F6728" w14:textId="77777777">
        <w:tc>
          <w:tcPr>
            <w:tcW w:w="2691" w:type="dxa"/>
          </w:tcPr>
          <w:p w14:paraId="104F3BB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“Agent(s)”</w:t>
            </w:r>
          </w:p>
        </w:tc>
        <w:tc>
          <w:tcPr>
            <w:tcW w:w="7342" w:type="dxa"/>
          </w:tcPr>
          <w:p w14:paraId="4AB27781"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sz w:val="24"/>
                <w:szCs w:val="24"/>
              </w:rPr>
              <w:t>means the individual (s) delivering the service</w:t>
            </w:r>
          </w:p>
        </w:tc>
      </w:tr>
      <w:tr w:rsidR="00D90956" w14:paraId="2A18454C" w14:textId="77777777">
        <w:tc>
          <w:tcPr>
            <w:tcW w:w="2691" w:type="dxa"/>
          </w:tcPr>
          <w:p w14:paraId="6D4534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“AI”</w:t>
            </w:r>
          </w:p>
        </w:tc>
        <w:tc>
          <w:tcPr>
            <w:tcW w:w="7342" w:type="dxa"/>
          </w:tcPr>
          <w:p w14:paraId="12FA5EE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Artificial Intelligence;</w:t>
            </w:r>
          </w:p>
        </w:tc>
      </w:tr>
      <w:tr w:rsidR="00D90956" w14:paraId="095565C8" w14:textId="77777777">
        <w:tc>
          <w:tcPr>
            <w:tcW w:w="2691" w:type="dxa"/>
          </w:tcPr>
          <w:p w14:paraId="00274BF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7E9A87B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D90956" w14:paraId="4426D490" w14:textId="77777777">
        <w:tc>
          <w:tcPr>
            <w:tcW w:w="2691" w:type="dxa"/>
          </w:tcPr>
          <w:p w14:paraId="2C2E538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0847C395"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D90956" w14:paraId="0CA7B176" w14:textId="77777777">
        <w:tc>
          <w:tcPr>
            <w:tcW w:w="2691" w:type="dxa"/>
            <w:vAlign w:val="center"/>
          </w:tcPr>
          <w:p w14:paraId="20B58350"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w:t>
            </w:r>
          </w:p>
        </w:tc>
        <w:tc>
          <w:tcPr>
            <w:tcW w:w="7342" w:type="dxa"/>
            <w:vAlign w:val="center"/>
          </w:tcPr>
          <w:p w14:paraId="6E7B563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any item or equipment owned by the Buyer which is maintained by the Supplier as part of the required Services.</w:t>
            </w:r>
          </w:p>
        </w:tc>
      </w:tr>
      <w:tr w:rsidR="00D90956" w14:paraId="02B3F478" w14:textId="77777777">
        <w:tc>
          <w:tcPr>
            <w:tcW w:w="2691" w:type="dxa"/>
            <w:vAlign w:val="center"/>
          </w:tcPr>
          <w:p w14:paraId="184FACF3"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Register”</w:t>
            </w:r>
          </w:p>
        </w:tc>
        <w:tc>
          <w:tcPr>
            <w:tcW w:w="7342" w:type="dxa"/>
            <w:vAlign w:val="center"/>
          </w:tcPr>
          <w:p w14:paraId="43AA98C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 list of Assets, as referred to in paragraph 1.7.20 of Work Package Q of the Specification.</w:t>
            </w:r>
          </w:p>
        </w:tc>
      </w:tr>
      <w:tr w:rsidR="00D90956" w14:paraId="5CEDA378" w14:textId="77777777">
        <w:tc>
          <w:tcPr>
            <w:tcW w:w="2691" w:type="dxa"/>
          </w:tcPr>
          <w:p w14:paraId="4CB661D4"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w:t>
            </w:r>
          </w:p>
        </w:tc>
        <w:tc>
          <w:tcPr>
            <w:tcW w:w="7342" w:type="dxa"/>
          </w:tcPr>
          <w:p w14:paraId="0BD3F1BD"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Is the process that the Supplier undertakes to verify the Assets as detailed in the Specification;</w:t>
            </w:r>
          </w:p>
        </w:tc>
      </w:tr>
      <w:tr w:rsidR="00D90956" w14:paraId="7A99BF7C" w14:textId="77777777">
        <w:tc>
          <w:tcPr>
            <w:tcW w:w="2691" w:type="dxa"/>
          </w:tcPr>
          <w:p w14:paraId="23A51B32"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Audit”</w:t>
            </w:r>
          </w:p>
        </w:tc>
        <w:tc>
          <w:tcPr>
            <w:tcW w:w="7342" w:type="dxa"/>
          </w:tcPr>
          <w:p w14:paraId="10111686" w14:textId="77777777" w:rsidR="00D90956" w:rsidRDefault="00185F51">
            <w:pPr>
              <w:tabs>
                <w:tab w:val="left" w:pos="-179"/>
                <w:tab w:val="left" w:pos="-9"/>
              </w:tabs>
              <w:spacing w:before="240" w:after="240"/>
              <w:ind w:left="283" w:right="248" w:hanging="135"/>
              <w:rPr>
                <w:rFonts w:ascii="Arial" w:eastAsia="Arial" w:hAnsi="Arial" w:cs="Arial"/>
                <w:sz w:val="24"/>
                <w:szCs w:val="24"/>
              </w:rPr>
            </w:pPr>
            <w:r>
              <w:rPr>
                <w:rFonts w:ascii="Arial" w:eastAsia="Arial" w:hAnsi="Arial" w:cs="Arial"/>
                <w:sz w:val="16"/>
                <w:szCs w:val="16"/>
              </w:rPr>
              <w:t>·</w:t>
            </w:r>
            <w:r>
              <w:rPr>
                <w:rFonts w:ascii="Times New Roman" w:eastAsia="Times New Roman" w:hAnsi="Times New Roman" w:cs="Times New Roman"/>
                <w:sz w:val="14"/>
                <w:szCs w:val="14"/>
              </w:rPr>
              <w:t xml:space="preserve"> </w:t>
            </w:r>
            <w:r>
              <w:rPr>
                <w:rFonts w:ascii="Arial" w:eastAsia="Arial" w:hAnsi="Arial" w:cs="Arial"/>
                <w:sz w:val="24"/>
                <w:szCs w:val="24"/>
              </w:rPr>
              <w:t>An audit on the due diligence data provided by the Buyer to ensure potential errors, inaccuracies or omissions in the Asset</w:t>
            </w:r>
            <w:r>
              <w:rPr>
                <w:rFonts w:ascii="Arial" w:eastAsia="Arial" w:hAnsi="Arial" w:cs="Arial"/>
                <w:b/>
                <w:sz w:val="24"/>
                <w:szCs w:val="24"/>
              </w:rPr>
              <w:t xml:space="preserve"> </w:t>
            </w:r>
            <w:r>
              <w:rPr>
                <w:rFonts w:ascii="Arial" w:eastAsia="Arial" w:hAnsi="Arial" w:cs="Arial"/>
                <w:sz w:val="24"/>
                <w:szCs w:val="24"/>
              </w:rPr>
              <w:t>Data are identified and included in the Asset Verification Report;</w:t>
            </w:r>
          </w:p>
        </w:tc>
      </w:tr>
      <w:tr w:rsidR="00D90956" w14:paraId="6B705847" w14:textId="77777777">
        <w:tc>
          <w:tcPr>
            <w:tcW w:w="2691" w:type="dxa"/>
          </w:tcPr>
          <w:p w14:paraId="7753E9B6"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Report”</w:t>
            </w:r>
          </w:p>
        </w:tc>
        <w:tc>
          <w:tcPr>
            <w:tcW w:w="7342" w:type="dxa"/>
          </w:tcPr>
          <w:p w14:paraId="6939DA15"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32"/>
                <w:szCs w:val="32"/>
              </w:rPr>
            </w:pPr>
            <w:r>
              <w:rPr>
                <w:rFonts w:ascii="Arial" w:eastAsia="Arial" w:hAnsi="Arial" w:cs="Arial"/>
                <w:sz w:val="24"/>
                <w:szCs w:val="24"/>
              </w:rPr>
              <w:t xml:space="preserve">Is the report that the Supplier will produce to detail the findings and remedial action required to address any errors, inaccuracies or omissions identified in the “Asset Verification Audit” where revisions to the “Asset” information may, where agreed with the Buyer, necessitate revisions to the “Services” and/or “Charges” </w:t>
            </w:r>
            <w:r>
              <w:rPr>
                <w:rFonts w:ascii="Arial" w:eastAsia="Arial" w:hAnsi="Arial" w:cs="Arial"/>
                <w:sz w:val="24"/>
                <w:szCs w:val="24"/>
              </w:rPr>
              <w:lastRenderedPageBreak/>
              <w:t>to ensure compliance with the Buyer’s statutory and/or insurance obligations</w:t>
            </w:r>
          </w:p>
        </w:tc>
      </w:tr>
      <w:tr w:rsidR="00D90956" w14:paraId="28563BFB" w14:textId="77777777">
        <w:tc>
          <w:tcPr>
            <w:tcW w:w="2691" w:type="dxa"/>
          </w:tcPr>
          <w:p w14:paraId="4FF79746"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“Asset Verification Rectification Plan”</w:t>
            </w:r>
          </w:p>
        </w:tc>
        <w:tc>
          <w:tcPr>
            <w:tcW w:w="7342" w:type="dxa"/>
          </w:tcPr>
          <w:p w14:paraId="68733F74"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 plan produced by the Supplier once the content of the Asset Verification Report has been agreed by the Buyer, that will include rectifications and the costs associated with the delivery of the PPM and reactive maintenance works;</w:t>
            </w:r>
          </w:p>
        </w:tc>
      </w:tr>
      <w:tr w:rsidR="00D90956" w14:paraId="1F202A6B" w14:textId="77777777">
        <w:tc>
          <w:tcPr>
            <w:tcW w:w="2691" w:type="dxa"/>
          </w:tcPr>
          <w:p w14:paraId="0F47C2CF" w14:textId="79362F9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“Asset Verification </w:t>
            </w:r>
            <w:r w:rsidR="0025339C">
              <w:rPr>
                <w:rFonts w:ascii="Arial" w:eastAsia="Arial" w:hAnsi="Arial" w:cs="Arial"/>
                <w:b/>
                <w:sz w:val="24"/>
                <w:szCs w:val="24"/>
              </w:rPr>
              <w:t>Non-Compliance</w:t>
            </w:r>
            <w:r>
              <w:rPr>
                <w:rFonts w:ascii="Arial" w:eastAsia="Arial" w:hAnsi="Arial" w:cs="Arial"/>
                <w:b/>
                <w:sz w:val="24"/>
                <w:szCs w:val="24"/>
              </w:rPr>
              <w:t xml:space="preserve"> Report”</w:t>
            </w:r>
          </w:p>
          <w:p w14:paraId="4F0942A2" w14:textId="77777777" w:rsidR="00D90956" w:rsidRDefault="00D90956">
            <w:pPr>
              <w:rPr>
                <w:rFonts w:ascii="Arial" w:eastAsia="Arial" w:hAnsi="Arial" w:cs="Arial"/>
                <w:sz w:val="24"/>
                <w:szCs w:val="24"/>
              </w:rPr>
            </w:pPr>
          </w:p>
        </w:tc>
        <w:tc>
          <w:tcPr>
            <w:tcW w:w="7342" w:type="dxa"/>
          </w:tcPr>
          <w:p w14:paraId="314E2CF9"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Asset Verification Non-Compliance Report is the report produced that shall include written evidence of findings, photographs, recommendations and associated costs to the Buyer to rectify the risks of non-compliance;</w:t>
            </w:r>
          </w:p>
        </w:tc>
      </w:tr>
      <w:tr w:rsidR="00D90956" w14:paraId="65C2963C" w14:textId="77777777">
        <w:tc>
          <w:tcPr>
            <w:tcW w:w="2691" w:type="dxa"/>
          </w:tcPr>
          <w:p w14:paraId="30081C2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“Assistive Technologies”</w:t>
            </w:r>
          </w:p>
        </w:tc>
        <w:tc>
          <w:tcPr>
            <w:tcW w:w="7342" w:type="dxa"/>
          </w:tcPr>
          <w:p w14:paraId="422D7A88"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describes products or systems that support and assist individuals with disabilities, restricted mobility or other impairments to perform functions that might otherwise be difficult or impossible;</w:t>
            </w:r>
          </w:p>
        </w:tc>
      </w:tr>
      <w:tr w:rsidR="00D90956" w14:paraId="7FCE7AE5" w14:textId="77777777">
        <w:tc>
          <w:tcPr>
            <w:tcW w:w="2691" w:type="dxa"/>
          </w:tcPr>
          <w:p w14:paraId="750A6C0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2BDF9938"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3C05CE3D"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45C5CC48" w14:textId="7F88E528"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w:t>
            </w:r>
            <w:r w:rsidR="0025339C">
              <w:rPr>
                <w:rFonts w:ascii="Arial" w:eastAsia="Arial" w:hAnsi="Arial" w:cs="Arial"/>
                <w:color w:val="000000"/>
                <w:sz w:val="24"/>
                <w:szCs w:val="24"/>
              </w:rPr>
              <w:t>third-party</w:t>
            </w:r>
            <w:r>
              <w:rPr>
                <w:rFonts w:ascii="Arial" w:eastAsia="Arial" w:hAnsi="Arial" w:cs="Arial"/>
                <w:color w:val="000000"/>
                <w:sz w:val="24"/>
                <w:szCs w:val="24"/>
              </w:rPr>
              <w:t xml:space="preserve"> </w:t>
            </w:r>
            <w:r>
              <w:rPr>
                <w:rFonts w:ascii="Arial" w:eastAsia="Arial" w:hAnsi="Arial" w:cs="Arial"/>
                <w:sz w:val="24"/>
                <w:szCs w:val="24"/>
              </w:rPr>
              <w:t>Supplier</w:t>
            </w:r>
            <w:r>
              <w:rPr>
                <w:rFonts w:ascii="Arial" w:eastAsia="Arial" w:hAnsi="Arial" w:cs="Arial"/>
                <w:color w:val="000000"/>
                <w:sz w:val="24"/>
                <w:szCs w:val="24"/>
              </w:rPr>
              <w:t>s) in connection with the provision of the Deliverables;</w:t>
            </w:r>
          </w:p>
          <w:p w14:paraId="503AC2FE"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79576622"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28F61AB8"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46BBBC5"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340F2D83"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obtain such information as is necessary to fulfil the Relevant Authority’s obligations to supply information for </w:t>
            </w:r>
            <w:r>
              <w:rPr>
                <w:rFonts w:ascii="Arial" w:eastAsia="Arial" w:hAnsi="Arial" w:cs="Arial"/>
                <w:color w:val="000000"/>
                <w:sz w:val="24"/>
                <w:szCs w:val="24"/>
              </w:rPr>
              <w:lastRenderedPageBreak/>
              <w:t>parliamentary, ministerial, judicial or administrative purposes including the supply of information to the Comptroller and Auditor General;</w:t>
            </w:r>
          </w:p>
          <w:p w14:paraId="4551D63A"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6F944E87"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27957A9E"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2C8DD6B1"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w:t>
            </w:r>
          </w:p>
          <w:p w14:paraId="58720F3A" w14:textId="77777777" w:rsidR="00D90956" w:rsidRDefault="00185F51">
            <w:pPr>
              <w:numPr>
                <w:ilvl w:val="2"/>
                <w:numId w:val="23"/>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r>
              <w:rPr>
                <w:rFonts w:ascii="Arial" w:eastAsia="Arial" w:hAnsi="Arial" w:cs="Arial"/>
                <w:color w:val="000000"/>
                <w:sz w:val="24"/>
                <w:szCs w:val="24"/>
              </w:rPr>
              <w:t>Management Information delivered or required by the Framework Contract; or</w:t>
            </w:r>
          </w:p>
          <w:p w14:paraId="2ABF167D" w14:textId="77777777" w:rsidR="00D90956" w:rsidRDefault="00D90956">
            <w:pPr>
              <w:numPr>
                <w:ilvl w:val="2"/>
                <w:numId w:val="23"/>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p>
        </w:tc>
      </w:tr>
      <w:tr w:rsidR="00D90956" w14:paraId="19986389" w14:textId="77777777">
        <w:tc>
          <w:tcPr>
            <w:tcW w:w="2691" w:type="dxa"/>
          </w:tcPr>
          <w:p w14:paraId="2F4D99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4F17FBBC"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662129D2"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214E44EB"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52B6A6DD"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442C4EAB"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72D2BC8D"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D90956" w14:paraId="736895DA" w14:textId="77777777">
        <w:trPr>
          <w:trHeight w:val="601"/>
        </w:trPr>
        <w:tc>
          <w:tcPr>
            <w:tcW w:w="2691" w:type="dxa"/>
          </w:tcPr>
          <w:p w14:paraId="062F516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14:paraId="605336C2" w14:textId="77777777" w:rsidR="00D90956" w:rsidRDefault="00185F51">
            <w:pPr>
              <w:tabs>
                <w:tab w:val="left" w:pos="284"/>
              </w:tabs>
              <w:ind w:left="142" w:right="242"/>
              <w:rPr>
                <w:rFonts w:ascii="Arial" w:eastAsia="Arial" w:hAnsi="Arial" w:cs="Arial"/>
                <w:sz w:val="24"/>
                <w:szCs w:val="24"/>
              </w:rPr>
            </w:pPr>
            <w:r>
              <w:rPr>
                <w:rFonts w:ascii="Arial" w:eastAsia="Arial" w:hAnsi="Arial" w:cs="Arial"/>
                <w:sz w:val="24"/>
                <w:szCs w:val="24"/>
              </w:rPr>
              <w:t>CCS and each Buyer;</w:t>
            </w:r>
          </w:p>
        </w:tc>
      </w:tr>
      <w:tr w:rsidR="00D90956" w14:paraId="0BF27669" w14:textId="77777777">
        <w:tc>
          <w:tcPr>
            <w:tcW w:w="2691" w:type="dxa"/>
          </w:tcPr>
          <w:p w14:paraId="0E49C32F" w14:textId="77777777" w:rsidR="00D90956" w:rsidRDefault="00185F51">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3ED1A6A2"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D90956" w14:paraId="53FAF1F1" w14:textId="77777777">
        <w:tc>
          <w:tcPr>
            <w:tcW w:w="2691" w:type="dxa"/>
          </w:tcPr>
          <w:p w14:paraId="6FB560A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“Back Office Processing”</w:t>
            </w:r>
          </w:p>
        </w:tc>
        <w:tc>
          <w:tcPr>
            <w:tcW w:w="7342" w:type="dxa"/>
          </w:tcPr>
          <w:p w14:paraId="1C49BD96" w14:textId="77777777" w:rsidR="00D90956" w:rsidRDefault="00185F51">
            <w:pPr>
              <w:tabs>
                <w:tab w:val="left" w:pos="284"/>
              </w:tabs>
              <w:ind w:left="142" w:right="242"/>
              <w:rPr>
                <w:rFonts w:ascii="Arial" w:eastAsia="Arial" w:hAnsi="Arial" w:cs="Arial"/>
                <w:sz w:val="24"/>
                <w:szCs w:val="24"/>
              </w:rPr>
            </w:pPr>
            <w:r>
              <w:rPr>
                <w:rFonts w:ascii="Arial" w:eastAsia="Arial" w:hAnsi="Arial" w:cs="Arial"/>
                <w:sz w:val="24"/>
                <w:szCs w:val="24"/>
              </w:rPr>
              <w:t>administrative functions carried out either manually or automated not requiring front line contact;</w:t>
            </w:r>
          </w:p>
        </w:tc>
      </w:tr>
      <w:tr w:rsidR="00D90956" w14:paraId="63BDF770" w14:textId="77777777">
        <w:tc>
          <w:tcPr>
            <w:tcW w:w="2691" w:type="dxa"/>
          </w:tcPr>
          <w:p w14:paraId="5D208B35"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“Back-pay”</w:t>
            </w:r>
          </w:p>
        </w:tc>
        <w:tc>
          <w:tcPr>
            <w:tcW w:w="7342" w:type="dxa"/>
          </w:tcPr>
          <w:p w14:paraId="4489563B" w14:textId="77777777" w:rsidR="00D90956" w:rsidRDefault="00185F51">
            <w:pPr>
              <w:tabs>
                <w:tab w:val="left" w:pos="284"/>
              </w:tabs>
              <w:ind w:left="142" w:right="242"/>
              <w:rPr>
                <w:rFonts w:ascii="Arial" w:eastAsia="Arial" w:hAnsi="Arial" w:cs="Arial"/>
                <w:sz w:val="24"/>
                <w:szCs w:val="24"/>
              </w:rPr>
            </w:pPr>
            <w:r>
              <w:rPr>
                <w:rFonts w:ascii="Arial" w:eastAsia="Arial" w:hAnsi="Arial" w:cs="Arial"/>
                <w:sz w:val="24"/>
                <w:szCs w:val="24"/>
              </w:rPr>
              <w:t>is the amount of salary and other benefits that an employee claims that they are owed after a wrongful termination;</w:t>
            </w:r>
          </w:p>
        </w:tc>
      </w:tr>
      <w:tr w:rsidR="00D90956" w14:paraId="1201BE12" w14:textId="77777777">
        <w:tc>
          <w:tcPr>
            <w:tcW w:w="2691" w:type="dxa"/>
          </w:tcPr>
          <w:p w14:paraId="09CA740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36D12EEB"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D90956" w14:paraId="3AFC16EB" w14:textId="77777777">
        <w:tc>
          <w:tcPr>
            <w:tcW w:w="2691" w:type="dxa"/>
          </w:tcPr>
          <w:p w14:paraId="67E5841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6B085D9C"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 Party having (or claiming to have) the benefit of an indemnity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D90956" w14:paraId="1B929D9C" w14:textId="77777777">
        <w:tc>
          <w:tcPr>
            <w:tcW w:w="2691" w:type="dxa"/>
            <w:vAlign w:val="center"/>
          </w:tcPr>
          <w:p w14:paraId="740808EA"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“Beyond Economic Repair”</w:t>
            </w:r>
          </w:p>
        </w:tc>
        <w:tc>
          <w:tcPr>
            <w:tcW w:w="7342" w:type="dxa"/>
            <w:vAlign w:val="center"/>
          </w:tcPr>
          <w:p w14:paraId="734AE726" w14:textId="212EFE04"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means when the cost of repairing and/or maintaining an Asset outweighs the cost of replacing it and is likely to increase the risk of unplanned downtime or pose potential health and safety risks </w:t>
            </w:r>
          </w:p>
        </w:tc>
      </w:tr>
      <w:tr w:rsidR="00D90956" w14:paraId="29C5567D" w14:textId="77777777">
        <w:tc>
          <w:tcPr>
            <w:tcW w:w="2691" w:type="dxa"/>
            <w:vAlign w:val="center"/>
          </w:tcPr>
          <w:p w14:paraId="62B52670"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"Baseline Monthly Payment"</w:t>
            </w:r>
          </w:p>
        </w:tc>
        <w:tc>
          <w:tcPr>
            <w:tcW w:w="7342" w:type="dxa"/>
            <w:vAlign w:val="center"/>
          </w:tcPr>
          <w:p w14:paraId="5A907C70" w14:textId="77777777" w:rsidR="00D90956" w:rsidRDefault="00185F51">
            <w:pPr>
              <w:pBdr>
                <w:top w:val="nil"/>
                <w:left w:val="nil"/>
                <w:bottom w:val="nil"/>
                <w:right w:val="nil"/>
                <w:between w:val="nil"/>
              </w:pBdr>
              <w:tabs>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the payment payable in respect of a Service Month as set by reference to the Pricing Matrix.</w:t>
            </w:r>
          </w:p>
          <w:p w14:paraId="7402C826" w14:textId="77777777" w:rsidR="00D90956" w:rsidRDefault="00D90956">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D90956" w14:paraId="01FCD41D" w14:textId="77777777">
        <w:tc>
          <w:tcPr>
            <w:tcW w:w="2691" w:type="dxa"/>
            <w:vAlign w:val="center"/>
          </w:tcPr>
          <w:p w14:paraId="1293B67B"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w:t>
            </w:r>
          </w:p>
        </w:tc>
        <w:tc>
          <w:tcPr>
            <w:tcW w:w="7342" w:type="dxa"/>
            <w:vAlign w:val="center"/>
          </w:tcPr>
          <w:p w14:paraId="47CC419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Deliverables that are not included in the Baseline Monthly Payment and are raised in accordance with the Billable Works and Approvals Process.</w:t>
            </w:r>
          </w:p>
        </w:tc>
      </w:tr>
      <w:tr w:rsidR="00D90956" w14:paraId="5B75422F" w14:textId="77777777">
        <w:tc>
          <w:tcPr>
            <w:tcW w:w="2691" w:type="dxa"/>
            <w:vAlign w:val="center"/>
          </w:tcPr>
          <w:p w14:paraId="5B620DFD"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and Approval Process"</w:t>
            </w:r>
          </w:p>
        </w:tc>
        <w:tc>
          <w:tcPr>
            <w:tcW w:w="7342" w:type="dxa"/>
            <w:vAlign w:val="center"/>
          </w:tcPr>
          <w:p w14:paraId="5BBF7841"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means the process described as such in Framework Schedule 1 (Specification) - Appendix 3 – Billable Works and Approvals Process </w:t>
            </w:r>
          </w:p>
        </w:tc>
      </w:tr>
      <w:tr w:rsidR="00D90956" w14:paraId="71AC1B8E" w14:textId="77777777">
        <w:tc>
          <w:tcPr>
            <w:tcW w:w="2691" w:type="dxa"/>
            <w:vAlign w:val="center"/>
          </w:tcPr>
          <w:p w14:paraId="3C78E67B"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Management Uplift Percentage"</w:t>
            </w:r>
          </w:p>
        </w:tc>
        <w:tc>
          <w:tcPr>
            <w:tcW w:w="7342" w:type="dxa"/>
            <w:vAlign w:val="center"/>
          </w:tcPr>
          <w:p w14:paraId="052EDB9F" w14:textId="77777777"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bookmarkStart w:id="5" w:name="_heading=h.2s8eyo1" w:colFirst="0" w:colLast="0"/>
            <w:bookmarkEnd w:id="5"/>
            <w:r>
              <w:rPr>
                <w:rFonts w:ascii="Arial" w:eastAsia="Arial" w:hAnsi="Arial" w:cs="Arial"/>
                <w:color w:val="202124"/>
                <w:sz w:val="24"/>
                <w:szCs w:val="24"/>
              </w:rPr>
              <w:t>The % applied to the cost of the Billable Works as set out in the Pricing Matrix, to cover overhead costs as detailed in Call Off schedule 25 - Billable Works paragraph 2.2</w:t>
            </w:r>
          </w:p>
        </w:tc>
      </w:tr>
      <w:tr w:rsidR="00D90956" w14:paraId="1A5D7123" w14:textId="77777777">
        <w:tc>
          <w:tcPr>
            <w:tcW w:w="2691" w:type="dxa"/>
            <w:vAlign w:val="center"/>
          </w:tcPr>
          <w:p w14:paraId="72AA0AA6" w14:textId="77777777" w:rsidR="00D90956" w:rsidRDefault="00185F51">
            <w:pPr>
              <w:pBdr>
                <w:top w:val="nil"/>
                <w:left w:val="nil"/>
                <w:bottom w:val="nil"/>
                <w:right w:val="nil"/>
                <w:between w:val="nil"/>
              </w:pBdr>
              <w:tabs>
                <w:tab w:val="left" w:pos="1490"/>
              </w:tabs>
              <w:spacing w:after="120"/>
              <w:rPr>
                <w:rFonts w:ascii="Arial" w:eastAsia="Arial" w:hAnsi="Arial" w:cs="Arial"/>
                <w:b/>
                <w:sz w:val="24"/>
                <w:szCs w:val="24"/>
              </w:rPr>
            </w:pPr>
            <w:r>
              <w:rPr>
                <w:rFonts w:ascii="Arial" w:eastAsia="Arial" w:hAnsi="Arial" w:cs="Arial"/>
                <w:b/>
                <w:sz w:val="24"/>
                <w:szCs w:val="24"/>
              </w:rPr>
              <w:t>“Bronze Contract”</w:t>
            </w:r>
          </w:p>
        </w:tc>
        <w:tc>
          <w:tcPr>
            <w:tcW w:w="7342" w:type="dxa"/>
            <w:vAlign w:val="center"/>
          </w:tcPr>
          <w:p w14:paraId="00676A16" w14:textId="77777777"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highlight w:val="white"/>
              </w:rPr>
              <w:t>A Call-Off Contract categorised as a Bronze contract using the Cabinet Office Contract Tiering Tool</w:t>
            </w:r>
          </w:p>
        </w:tc>
      </w:tr>
      <w:tr w:rsidR="00D90956" w14:paraId="6508B3C2" w14:textId="77777777">
        <w:tc>
          <w:tcPr>
            <w:tcW w:w="2691" w:type="dxa"/>
            <w:vAlign w:val="center"/>
          </w:tcPr>
          <w:p w14:paraId="0DCA0677"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"Business Critical Events"</w:t>
            </w:r>
          </w:p>
        </w:tc>
        <w:tc>
          <w:tcPr>
            <w:tcW w:w="7342" w:type="dxa"/>
            <w:vAlign w:val="center"/>
          </w:tcPr>
          <w:p w14:paraId="1A66AE4C" w14:textId="5072BB13"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any event: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described as such in the Order Form; (ii</w:t>
            </w:r>
            <w:r w:rsidR="0025339C">
              <w:rPr>
                <w:rFonts w:ascii="Arial" w:eastAsia="Arial" w:hAnsi="Arial" w:cs="Arial"/>
                <w:color w:val="000000"/>
                <w:sz w:val="24"/>
                <w:szCs w:val="24"/>
              </w:rPr>
              <w:t>) which</w:t>
            </w:r>
            <w:r>
              <w:rPr>
                <w:rFonts w:ascii="Arial" w:eastAsia="Arial" w:hAnsi="Arial" w:cs="Arial"/>
                <w:color w:val="000000"/>
                <w:sz w:val="24"/>
                <w:szCs w:val="24"/>
              </w:rPr>
              <w:t xml:space="preserve"> relates to the immediate security</w:t>
            </w:r>
            <w:r>
              <w:rPr>
                <w:rFonts w:ascii="Arial" w:eastAsia="Arial" w:hAnsi="Arial" w:cs="Arial"/>
                <w:sz w:val="24"/>
                <w:szCs w:val="24"/>
              </w:rPr>
              <w:t xml:space="preserve"> </w:t>
            </w:r>
            <w:r>
              <w:rPr>
                <w:rFonts w:ascii="Arial" w:eastAsia="Arial" w:hAnsi="Arial" w:cs="Arial"/>
                <w:color w:val="000000"/>
                <w:sz w:val="24"/>
                <w:szCs w:val="24"/>
              </w:rPr>
              <w:t>or health and safety of Buyer Premises; or (iii) which triggers the invocation of the Business Continuity and Disaster Recovery Plan;</w:t>
            </w:r>
          </w:p>
          <w:p w14:paraId="703965F1" w14:textId="77777777" w:rsidR="00D90956" w:rsidRDefault="00D90956">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D90956" w14:paraId="7D60CACB" w14:textId="77777777">
        <w:tc>
          <w:tcPr>
            <w:tcW w:w="2691" w:type="dxa"/>
          </w:tcPr>
          <w:p w14:paraId="19E50A65"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color w:val="000000"/>
                <w:sz w:val="24"/>
                <w:szCs w:val="24"/>
              </w:rPr>
              <w:t>"Buyer"</w:t>
            </w:r>
            <w:r>
              <w:rPr>
                <w:rFonts w:ascii="Arial" w:eastAsia="Arial" w:hAnsi="Arial" w:cs="Arial"/>
                <w:b/>
                <w:color w:val="000000"/>
                <w:sz w:val="24"/>
                <w:szCs w:val="24"/>
              </w:rPr>
              <w:tab/>
            </w:r>
          </w:p>
        </w:tc>
        <w:tc>
          <w:tcPr>
            <w:tcW w:w="7342" w:type="dxa"/>
          </w:tcPr>
          <w:p w14:paraId="02CC944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D90956" w14:paraId="098C8A59" w14:textId="77777777">
        <w:tc>
          <w:tcPr>
            <w:tcW w:w="2691" w:type="dxa"/>
          </w:tcPr>
          <w:p w14:paraId="0550C2A4"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342" w:type="dxa"/>
          </w:tcPr>
          <w:p w14:paraId="0647BF8F"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D90956" w14:paraId="13C4B9C0" w14:textId="77777777">
        <w:tc>
          <w:tcPr>
            <w:tcW w:w="2691" w:type="dxa"/>
          </w:tcPr>
          <w:p w14:paraId="6FA4310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08FAACD2"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D90956" w14:paraId="6A2CD32A" w14:textId="77777777">
        <w:trPr>
          <w:trHeight w:val="540"/>
        </w:trPr>
        <w:tc>
          <w:tcPr>
            <w:tcW w:w="2691" w:type="dxa"/>
            <w:vAlign w:val="center"/>
          </w:tcPr>
          <w:p w14:paraId="7D16BCD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Equipment”</w:t>
            </w:r>
          </w:p>
        </w:tc>
        <w:tc>
          <w:tcPr>
            <w:tcW w:w="7342" w:type="dxa"/>
            <w:vAlign w:val="center"/>
          </w:tcPr>
          <w:p w14:paraId="6C573F8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any Buyer Assets at any Site on the Start Date;</w:t>
            </w:r>
          </w:p>
        </w:tc>
      </w:tr>
      <w:tr w:rsidR="00D90956" w14:paraId="1031898D" w14:textId="77777777">
        <w:tc>
          <w:tcPr>
            <w:tcW w:w="2691" w:type="dxa"/>
          </w:tcPr>
          <w:p w14:paraId="54ADEA3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2EFF38C4"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D90956" w14:paraId="26B7548A" w14:textId="77777777">
        <w:tc>
          <w:tcPr>
            <w:tcW w:w="2691" w:type="dxa"/>
          </w:tcPr>
          <w:p w14:paraId="5776B19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Third Parties”</w:t>
            </w:r>
          </w:p>
        </w:tc>
        <w:tc>
          <w:tcPr>
            <w:tcW w:w="7342" w:type="dxa"/>
          </w:tcPr>
          <w:p w14:paraId="7F883071" w14:textId="77777777" w:rsidR="00D90956" w:rsidRDefault="00185F51">
            <w:pPr>
              <w:pBdr>
                <w:top w:val="nil"/>
                <w:left w:val="nil"/>
                <w:bottom w:val="nil"/>
                <w:right w:val="nil"/>
                <w:between w:val="nil"/>
              </w:pBdr>
              <w:tabs>
                <w:tab w:val="left" w:pos="-179"/>
                <w:tab w:val="left" w:pos="284"/>
              </w:tabs>
              <w:spacing w:after="120"/>
              <w:ind w:left="142" w:right="242" w:hanging="170"/>
              <w:jc w:val="both"/>
              <w:rPr>
                <w:rFonts w:ascii="Arial" w:eastAsia="Arial" w:hAnsi="Arial" w:cs="Arial"/>
                <w:color w:val="000000"/>
                <w:sz w:val="24"/>
                <w:szCs w:val="24"/>
              </w:rPr>
            </w:pPr>
            <w:r>
              <w:rPr>
                <w:rFonts w:ascii="Arial" w:eastAsia="Arial" w:hAnsi="Arial" w:cs="Arial"/>
                <w:sz w:val="24"/>
                <w:szCs w:val="24"/>
              </w:rPr>
              <w:t xml:space="preserve">   any third party Supplier providing deliverables to the Buyer</w:t>
            </w:r>
          </w:p>
        </w:tc>
      </w:tr>
      <w:tr w:rsidR="00D90956" w14:paraId="111F12E1" w14:textId="77777777">
        <w:tc>
          <w:tcPr>
            <w:tcW w:w="2691" w:type="dxa"/>
          </w:tcPr>
          <w:p w14:paraId="623304C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5A4B2D8B"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D90956" w14:paraId="794DCF94" w14:textId="77777777">
        <w:tc>
          <w:tcPr>
            <w:tcW w:w="2691" w:type="dxa"/>
          </w:tcPr>
          <w:p w14:paraId="7023EBF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2D218090"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D90956" w14:paraId="734C475F" w14:textId="77777777">
        <w:tc>
          <w:tcPr>
            <w:tcW w:w="2691" w:type="dxa"/>
          </w:tcPr>
          <w:p w14:paraId="3921549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4EB79141"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D90956" w14:paraId="086449A6" w14:textId="77777777">
        <w:tc>
          <w:tcPr>
            <w:tcW w:w="2691" w:type="dxa"/>
          </w:tcPr>
          <w:p w14:paraId="505B02C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4E8611C3"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D90956" w14:paraId="2CF214F8" w14:textId="77777777">
        <w:tc>
          <w:tcPr>
            <w:tcW w:w="2691" w:type="dxa"/>
          </w:tcPr>
          <w:p w14:paraId="0A6A16B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vAlign w:val="center"/>
          </w:tcPr>
          <w:p w14:paraId="22F505F4" w14:textId="7CF3C42C"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sz w:val="24"/>
                <w:szCs w:val="24"/>
              </w:rPr>
              <w:t xml:space="preserve">the Initial Period of a Call-Off Contract specified in the Order Form for when the Services </w:t>
            </w:r>
            <w:r w:rsidR="0025339C">
              <w:rPr>
                <w:rFonts w:ascii="Arial" w:eastAsia="Arial" w:hAnsi="Arial" w:cs="Arial"/>
                <w:sz w:val="24"/>
                <w:szCs w:val="24"/>
              </w:rPr>
              <w:t xml:space="preserve">commence </w:t>
            </w:r>
            <w:r w:rsidR="0025339C">
              <w:rPr>
                <w:rFonts w:ascii="Arial" w:eastAsia="Arial" w:hAnsi="Arial" w:cs="Arial"/>
                <w:color w:val="000000"/>
                <w:sz w:val="24"/>
                <w:szCs w:val="24"/>
                <w:highlight w:val="white"/>
              </w:rPr>
              <w:t>following</w:t>
            </w:r>
            <w:r>
              <w:rPr>
                <w:rFonts w:ascii="Arial" w:eastAsia="Arial" w:hAnsi="Arial" w:cs="Arial"/>
                <w:color w:val="000000"/>
                <w:sz w:val="24"/>
                <w:szCs w:val="24"/>
                <w:highlight w:val="white"/>
              </w:rPr>
              <w:t xml:space="preserve"> the Mobilisation Period;</w:t>
            </w:r>
          </w:p>
        </w:tc>
      </w:tr>
      <w:tr w:rsidR="00D90956" w14:paraId="208874C8" w14:textId="77777777">
        <w:tc>
          <w:tcPr>
            <w:tcW w:w="2691" w:type="dxa"/>
          </w:tcPr>
          <w:p w14:paraId="5E1B31D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545373A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D90956" w14:paraId="2B0BF7DE" w14:textId="77777777">
        <w:tc>
          <w:tcPr>
            <w:tcW w:w="2691" w:type="dxa"/>
          </w:tcPr>
          <w:p w14:paraId="2DF4EF7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289303F8"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D90956" w14:paraId="01EEDB61" w14:textId="77777777">
        <w:tc>
          <w:tcPr>
            <w:tcW w:w="2691" w:type="dxa"/>
          </w:tcPr>
          <w:p w14:paraId="0530D10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3CCF90B2"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D90956" w14:paraId="261FA84E" w14:textId="77777777">
        <w:tc>
          <w:tcPr>
            <w:tcW w:w="2691" w:type="dxa"/>
          </w:tcPr>
          <w:p w14:paraId="4362BC2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3DD8180E"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date of a start of a Call-Off Contract as stated in the Order Form;</w:t>
            </w:r>
          </w:p>
        </w:tc>
      </w:tr>
      <w:tr w:rsidR="00D90956" w14:paraId="5C3CC321" w14:textId="77777777">
        <w:tc>
          <w:tcPr>
            <w:tcW w:w="2691" w:type="dxa"/>
          </w:tcPr>
          <w:p w14:paraId="27887C4C" w14:textId="77777777" w:rsidR="00D90956" w:rsidRDefault="00185F51">
            <w:pPr>
              <w:pBdr>
                <w:top w:val="nil"/>
                <w:left w:val="nil"/>
                <w:bottom w:val="nil"/>
                <w:right w:val="nil"/>
                <w:between w:val="nil"/>
              </w:pBdr>
              <w:spacing w:after="120"/>
              <w:rPr>
                <w:rFonts w:ascii="Arial" w:eastAsia="Arial" w:hAnsi="Arial" w:cs="Arial"/>
                <w:b/>
                <w:color w:val="000000"/>
                <w:sz w:val="24"/>
                <w:szCs w:val="24"/>
                <w:highlight w:val="yellow"/>
              </w:rPr>
            </w:pPr>
            <w:r w:rsidRPr="0025339C">
              <w:rPr>
                <w:rFonts w:ascii="Arial" w:eastAsia="Arial" w:hAnsi="Arial" w:cs="Arial"/>
                <w:b/>
                <w:color w:val="000000"/>
                <w:sz w:val="24"/>
                <w:szCs w:val="24"/>
              </w:rPr>
              <w:t>“Call-Off Contract Start Date”</w:t>
            </w:r>
          </w:p>
        </w:tc>
        <w:tc>
          <w:tcPr>
            <w:tcW w:w="7342" w:type="dxa"/>
          </w:tcPr>
          <w:p w14:paraId="3A153FC9"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highlight w:val="yellow"/>
              </w:rPr>
            </w:pPr>
            <w:r w:rsidRPr="0025339C">
              <w:rPr>
                <w:rFonts w:ascii="Arial" w:eastAsia="Arial" w:hAnsi="Arial" w:cs="Arial"/>
                <w:color w:val="000000"/>
                <w:sz w:val="24"/>
                <w:szCs w:val="24"/>
              </w:rPr>
              <w:t>means the same as Call-Off Start Date</w:t>
            </w:r>
          </w:p>
        </w:tc>
      </w:tr>
      <w:tr w:rsidR="00D90956" w14:paraId="751603FB" w14:textId="77777777">
        <w:tc>
          <w:tcPr>
            <w:tcW w:w="2691" w:type="dxa"/>
          </w:tcPr>
          <w:p w14:paraId="2216C34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"Call-Off Tender"</w:t>
            </w:r>
          </w:p>
        </w:tc>
        <w:tc>
          <w:tcPr>
            <w:tcW w:w="7342" w:type="dxa"/>
          </w:tcPr>
          <w:p w14:paraId="5E4E18B0"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D90956" w14:paraId="00F66DA2" w14:textId="77777777">
        <w:tc>
          <w:tcPr>
            <w:tcW w:w="2691" w:type="dxa"/>
          </w:tcPr>
          <w:p w14:paraId="68A3B18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“Carbon Reduction Plan”</w:t>
            </w:r>
          </w:p>
        </w:tc>
        <w:tc>
          <w:tcPr>
            <w:tcW w:w="7342" w:type="dxa"/>
          </w:tcPr>
          <w:p w14:paraId="6ADED0A0" w14:textId="0A162EF2"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202124"/>
                <w:sz w:val="24"/>
                <w:szCs w:val="24"/>
                <w:highlight w:val="white"/>
              </w:rPr>
              <w:t xml:space="preserve">a plan which contains the details </w:t>
            </w:r>
            <w:r w:rsidR="0025339C">
              <w:rPr>
                <w:rFonts w:ascii="Arial" w:eastAsia="Arial" w:hAnsi="Arial" w:cs="Arial"/>
                <w:color w:val="202124"/>
                <w:sz w:val="24"/>
                <w:szCs w:val="24"/>
                <w:highlight w:val="white"/>
              </w:rPr>
              <w:t>of emissions</w:t>
            </w:r>
            <w:r>
              <w:rPr>
                <w:rFonts w:ascii="Arial" w:eastAsia="Arial" w:hAnsi="Arial" w:cs="Arial"/>
                <w:color w:val="202124"/>
                <w:sz w:val="24"/>
                <w:szCs w:val="24"/>
                <w:highlight w:val="white"/>
              </w:rPr>
              <w:t xml:space="preserve"> across a single year against a range of emissions sources and greenhouse gasses, as per PPN 06/21.</w:t>
            </w:r>
          </w:p>
        </w:tc>
      </w:tr>
      <w:tr w:rsidR="00D90956" w14:paraId="7B1F9D14" w14:textId="77777777">
        <w:tc>
          <w:tcPr>
            <w:tcW w:w="2691" w:type="dxa"/>
          </w:tcPr>
          <w:p w14:paraId="08D89BB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78DAC0B3"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D90956" w14:paraId="1D91E520" w14:textId="77777777">
        <w:tc>
          <w:tcPr>
            <w:tcW w:w="2691" w:type="dxa"/>
          </w:tcPr>
          <w:p w14:paraId="06DA0F3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14:paraId="768669B3"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D90956" w14:paraId="17026EE1" w14:textId="77777777">
        <w:tc>
          <w:tcPr>
            <w:tcW w:w="2691" w:type="dxa"/>
          </w:tcPr>
          <w:p w14:paraId="010FC21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54958814"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0792490D"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1209383D"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06BF3EB3"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71D517E4"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D90956" w14:paraId="7BF81EE1" w14:textId="77777777">
        <w:tc>
          <w:tcPr>
            <w:tcW w:w="2691" w:type="dxa"/>
          </w:tcPr>
          <w:p w14:paraId="53647AB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50C3A0AE"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D90956" w14:paraId="7AE1352F" w14:textId="77777777">
        <w:tc>
          <w:tcPr>
            <w:tcW w:w="2691" w:type="dxa"/>
          </w:tcPr>
          <w:p w14:paraId="78C59E9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5062D70F"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D90956" w14:paraId="66049338" w14:textId="77777777">
        <w:tc>
          <w:tcPr>
            <w:tcW w:w="2691" w:type="dxa"/>
          </w:tcPr>
          <w:p w14:paraId="2CC24B0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34C433D0"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D90956" w14:paraId="1AF9F411" w14:textId="77777777">
        <w:tc>
          <w:tcPr>
            <w:tcW w:w="2691" w:type="dxa"/>
          </w:tcPr>
          <w:p w14:paraId="5890B15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41EF78C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any claim which it appears that a Beneficiary is, or may become, entitled to indemnification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D90956" w14:paraId="1A3BBC5D" w14:textId="77777777">
        <w:tc>
          <w:tcPr>
            <w:tcW w:w="2691" w:type="dxa"/>
          </w:tcPr>
          <w:p w14:paraId="0214EE5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“Commercial Off-the-shelf (COTS)”</w:t>
            </w:r>
          </w:p>
        </w:tc>
        <w:tc>
          <w:tcPr>
            <w:tcW w:w="7342" w:type="dxa"/>
          </w:tcPr>
          <w:p w14:paraId="78095CD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products that are packaged solutions which are then adapted to satisfy the needs of the purchasing organization, rather than the commissioning of custom-made, or bespoke, solutions;</w:t>
            </w:r>
          </w:p>
        </w:tc>
      </w:tr>
      <w:tr w:rsidR="00D90956" w14:paraId="623A208E" w14:textId="77777777">
        <w:tc>
          <w:tcPr>
            <w:tcW w:w="2691" w:type="dxa"/>
          </w:tcPr>
          <w:p w14:paraId="00B609F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62A800F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D90956" w14:paraId="5A53FDFF" w14:textId="77777777">
        <w:tc>
          <w:tcPr>
            <w:tcW w:w="2691" w:type="dxa"/>
          </w:tcPr>
          <w:p w14:paraId="6AFFD3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7363E4F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D90956" w14:paraId="4235BC2A" w14:textId="77777777">
        <w:tc>
          <w:tcPr>
            <w:tcW w:w="2691" w:type="dxa"/>
          </w:tcPr>
          <w:p w14:paraId="6343FB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Management Plan”</w:t>
            </w:r>
          </w:p>
        </w:tc>
        <w:tc>
          <w:tcPr>
            <w:tcW w:w="7342" w:type="dxa"/>
          </w:tcPr>
          <w:p w14:paraId="42228ADB" w14:textId="77777777" w:rsidR="00D90956" w:rsidRDefault="00185F51">
            <w:pPr>
              <w:tabs>
                <w:tab w:val="left" w:pos="-179"/>
                <w:tab w:val="left" w:pos="284"/>
              </w:tabs>
              <w:spacing w:before="240" w:after="240"/>
              <w:ind w:left="360" w:right="248"/>
              <w:jc w:val="both"/>
              <w:rPr>
                <w:rFonts w:ascii="Arial" w:eastAsia="Arial" w:hAnsi="Arial" w:cs="Arial"/>
                <w:color w:val="000000"/>
                <w:sz w:val="24"/>
                <w:szCs w:val="24"/>
              </w:rPr>
            </w:pPr>
            <w:r>
              <w:rPr>
                <w:rFonts w:ascii="Arial" w:eastAsia="Arial" w:hAnsi="Arial" w:cs="Arial"/>
                <w:color w:val="000000"/>
                <w:sz w:val="24"/>
                <w:szCs w:val="24"/>
              </w:rPr>
              <w:t>The process by which a Supplier shall plan, organise, control, and lead activities that ensure compliance with all legal requirements and any Buyer specified Services outlined within the Call-Off Contract.</w:t>
            </w:r>
          </w:p>
        </w:tc>
      </w:tr>
      <w:tr w:rsidR="00D90956" w14:paraId="4633DFF5" w14:textId="77777777">
        <w:tc>
          <w:tcPr>
            <w:tcW w:w="2691" w:type="dxa"/>
          </w:tcPr>
          <w:p w14:paraId="2280717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Management System”</w:t>
            </w:r>
          </w:p>
        </w:tc>
        <w:tc>
          <w:tcPr>
            <w:tcW w:w="7342" w:type="dxa"/>
          </w:tcPr>
          <w:p w14:paraId="348DFD1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 integrated system of documents, processes, tools, controls, and functions designed to ensure compliance with all legal requirements and any Buyer specified Services outlined within the Call-Off Contract. </w:t>
            </w:r>
          </w:p>
        </w:tc>
      </w:tr>
      <w:tr w:rsidR="00D90956" w14:paraId="435053AE" w14:textId="77777777">
        <w:tc>
          <w:tcPr>
            <w:tcW w:w="2691" w:type="dxa"/>
          </w:tcPr>
          <w:p w14:paraId="4F238A1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Report”</w:t>
            </w:r>
          </w:p>
        </w:tc>
        <w:tc>
          <w:tcPr>
            <w:tcW w:w="7342" w:type="dxa"/>
          </w:tcPr>
          <w:p w14:paraId="2175E7F5"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Compliance Report is the report produced to highlight whether the Buyer Premises in its current condition and in the way it is currently used is fully </w:t>
            </w:r>
            <w:r>
              <w:rPr>
                <w:rFonts w:ascii="Arial" w:eastAsia="Arial" w:hAnsi="Arial" w:cs="Arial"/>
                <w:sz w:val="24"/>
                <w:szCs w:val="24"/>
              </w:rPr>
              <w:t>compliant</w:t>
            </w:r>
            <w:r>
              <w:rPr>
                <w:rFonts w:ascii="Arial" w:eastAsia="Arial" w:hAnsi="Arial" w:cs="Arial"/>
                <w:color w:val="000000"/>
                <w:sz w:val="24"/>
                <w:szCs w:val="24"/>
              </w:rPr>
              <w:t xml:space="preserve"> with all legislation and statutory requirements.</w:t>
            </w:r>
          </w:p>
        </w:tc>
      </w:tr>
      <w:tr w:rsidR="00D90956" w14:paraId="52C07A36" w14:textId="77777777">
        <w:tc>
          <w:tcPr>
            <w:tcW w:w="2691" w:type="dxa"/>
          </w:tcPr>
          <w:p w14:paraId="7BA724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562E8C12"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D90956" w14:paraId="6A609DC0" w14:textId="77777777">
        <w:tc>
          <w:tcPr>
            <w:tcW w:w="2691" w:type="dxa"/>
            <w:vAlign w:val="center"/>
          </w:tcPr>
          <w:p w14:paraId="3D1D442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“Condition Survey”</w:t>
            </w:r>
          </w:p>
        </w:tc>
        <w:tc>
          <w:tcPr>
            <w:tcW w:w="7342" w:type="dxa"/>
            <w:vAlign w:val="center"/>
          </w:tcPr>
          <w:p w14:paraId="26CB9004"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means a formal periodic survey carried out by the Supplier on the Buyer’s systems, Assets and building fabric, performed annually (or as otherwise specified by the Buyer);</w:t>
            </w:r>
          </w:p>
        </w:tc>
      </w:tr>
      <w:tr w:rsidR="00D90956" w14:paraId="091BAE7C" w14:textId="77777777">
        <w:tc>
          <w:tcPr>
            <w:tcW w:w="2691" w:type="dxa"/>
          </w:tcPr>
          <w:p w14:paraId="1790C6B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2824068A"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w:t>
            </w:r>
            <w:r>
              <w:rPr>
                <w:rFonts w:ascii="Arial" w:eastAsia="Arial" w:hAnsi="Arial" w:cs="Arial"/>
                <w:sz w:val="24"/>
                <w:szCs w:val="24"/>
              </w:rPr>
              <w:t>Supplier</w:t>
            </w:r>
            <w:r>
              <w:rPr>
                <w:rFonts w:ascii="Arial" w:eastAsia="Arial" w:hAnsi="Arial" w:cs="Arial"/>
                <w:color w:val="000000"/>
                <w:sz w:val="24"/>
                <w:szCs w:val="24"/>
              </w:rPr>
              <w:t xml:space="preserve">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D90956" w14:paraId="084DFD31" w14:textId="77777777">
        <w:tc>
          <w:tcPr>
            <w:tcW w:w="2691" w:type="dxa"/>
          </w:tcPr>
          <w:p w14:paraId="06017011"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342" w:type="dxa"/>
          </w:tcPr>
          <w:p w14:paraId="0034E551"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D90956" w14:paraId="77CB994F" w14:textId="77777777">
        <w:tc>
          <w:tcPr>
            <w:tcW w:w="2691" w:type="dxa"/>
          </w:tcPr>
          <w:p w14:paraId="32F6ED1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“Continuous Improvement”</w:t>
            </w:r>
          </w:p>
        </w:tc>
        <w:tc>
          <w:tcPr>
            <w:tcW w:w="7342" w:type="dxa"/>
          </w:tcPr>
          <w:p w14:paraId="45F23442"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an ongoing effort to improve products, Services or processes;</w:t>
            </w:r>
          </w:p>
        </w:tc>
      </w:tr>
      <w:tr w:rsidR="00D90956" w14:paraId="0162A878" w14:textId="77777777">
        <w:tc>
          <w:tcPr>
            <w:tcW w:w="2691" w:type="dxa"/>
          </w:tcPr>
          <w:p w14:paraId="58C55F3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26E38499"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D90956" w14:paraId="47200CE0" w14:textId="77777777">
        <w:tc>
          <w:tcPr>
            <w:tcW w:w="2691" w:type="dxa"/>
          </w:tcPr>
          <w:p w14:paraId="40E5B0A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“Contract Management”</w:t>
            </w:r>
          </w:p>
        </w:tc>
        <w:tc>
          <w:tcPr>
            <w:tcW w:w="7342" w:type="dxa"/>
          </w:tcPr>
          <w:p w14:paraId="46B5CA56"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D90956" w14:paraId="0920A52F" w14:textId="77777777">
        <w:tc>
          <w:tcPr>
            <w:tcW w:w="2691" w:type="dxa"/>
          </w:tcPr>
          <w:p w14:paraId="339AB9B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51D3F1EE"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4AF51DBD" w14:textId="77777777" w:rsidR="00D90956" w:rsidRDefault="00185F51">
            <w:pPr>
              <w:pBdr>
                <w:top w:val="nil"/>
                <w:left w:val="nil"/>
                <w:bottom w:val="nil"/>
                <w:right w:val="nil"/>
                <w:between w:val="nil"/>
              </w:pBdr>
              <w:tabs>
                <w:tab w:val="left" w:pos="-179"/>
                <w:tab w:val="left" w:pos="270"/>
              </w:tabs>
              <w:spacing w:after="120"/>
              <w:ind w:left="1700" w:right="242" w:hanging="1417"/>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3882B32D" w14:textId="77777777" w:rsidR="00D90956" w:rsidRDefault="00185F51">
            <w:pPr>
              <w:pBdr>
                <w:top w:val="nil"/>
                <w:left w:val="nil"/>
                <w:bottom w:val="nil"/>
                <w:right w:val="nil"/>
                <w:between w:val="nil"/>
              </w:pBdr>
              <w:tabs>
                <w:tab w:val="left" w:pos="-179"/>
                <w:tab w:val="left" w:pos="270"/>
              </w:tabs>
              <w:spacing w:after="120"/>
              <w:ind w:left="1417" w:right="242" w:hanging="1133"/>
              <w:jc w:val="both"/>
              <w:rPr>
                <w:rFonts w:ascii="Arial" w:eastAsia="Arial" w:hAnsi="Arial" w:cs="Arial"/>
                <w:color w:val="000000"/>
                <w:sz w:val="24"/>
                <w:szCs w:val="24"/>
              </w:rPr>
            </w:pPr>
            <w:r>
              <w:rPr>
                <w:rFonts w:ascii="Arial" w:eastAsia="Arial" w:hAnsi="Arial" w:cs="Arial"/>
                <w:color w:val="000000"/>
                <w:sz w:val="24"/>
                <w:szCs w:val="24"/>
              </w:rPr>
              <w:t>b)           the Effective Date</w:t>
            </w:r>
            <w:r>
              <w:rPr>
                <w:rFonts w:ascii="Arial" w:eastAsia="Arial" w:hAnsi="Arial" w:cs="Arial"/>
                <w:sz w:val="24"/>
                <w:szCs w:val="24"/>
              </w:rPr>
              <w:t xml:space="preserve"> </w:t>
            </w:r>
            <w:r>
              <w:rPr>
                <w:rFonts w:ascii="Arial" w:eastAsia="Arial" w:hAnsi="Arial" w:cs="Arial"/>
                <w:color w:val="000000"/>
                <w:sz w:val="24"/>
                <w:szCs w:val="24"/>
              </w:rPr>
              <w:t xml:space="preserve">up to and including the applicable End Date; </w:t>
            </w:r>
          </w:p>
        </w:tc>
      </w:tr>
      <w:tr w:rsidR="00D90956" w14:paraId="7C96E7C1" w14:textId="77777777">
        <w:tc>
          <w:tcPr>
            <w:tcW w:w="2691" w:type="dxa"/>
          </w:tcPr>
          <w:p w14:paraId="446DBBC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40C910D1"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D90956" w14:paraId="7BC88028" w14:textId="77777777">
        <w:tc>
          <w:tcPr>
            <w:tcW w:w="2691" w:type="dxa"/>
          </w:tcPr>
          <w:p w14:paraId="4445E26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480B7D08"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at the start of the Call Off Initial Period, a consecutive period of twelve</w:t>
            </w:r>
            <w:r>
              <w:rPr>
                <w:rFonts w:ascii="Arial" w:eastAsia="Arial" w:hAnsi="Arial" w:cs="Arial"/>
                <w:sz w:val="24"/>
                <w:szCs w:val="24"/>
              </w:rPr>
              <w:t xml:space="preserve"> </w:t>
            </w:r>
            <w:r>
              <w:rPr>
                <w:rFonts w:ascii="Arial" w:eastAsia="Arial" w:hAnsi="Arial" w:cs="Arial"/>
                <w:color w:val="000000"/>
                <w:sz w:val="24"/>
                <w:szCs w:val="24"/>
              </w:rPr>
              <w:t>(12) Months commencing on the Start Date or each anniversary thereof;</w:t>
            </w:r>
          </w:p>
        </w:tc>
      </w:tr>
      <w:tr w:rsidR="00D90956" w14:paraId="27F42C63" w14:textId="77777777">
        <w:tc>
          <w:tcPr>
            <w:tcW w:w="2691" w:type="dxa"/>
          </w:tcPr>
          <w:p w14:paraId="55E9801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79E381B6"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D90956" w14:paraId="5D31E4BC" w14:textId="77777777">
        <w:tc>
          <w:tcPr>
            <w:tcW w:w="2691" w:type="dxa"/>
          </w:tcPr>
          <w:p w14:paraId="5D57A2D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060DDF08"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45CCC888" w14:textId="77777777">
        <w:tc>
          <w:tcPr>
            <w:tcW w:w="2691" w:type="dxa"/>
            <w:vAlign w:val="center"/>
          </w:tcPr>
          <w:p w14:paraId="5E20EE4A" w14:textId="77777777" w:rsidR="00D90956" w:rsidRDefault="00185F51">
            <w:pPr>
              <w:spacing w:after="120"/>
              <w:rPr>
                <w:rFonts w:ascii="Arial" w:eastAsia="Arial" w:hAnsi="Arial" w:cs="Arial"/>
                <w:b/>
                <w:sz w:val="24"/>
                <w:szCs w:val="24"/>
              </w:rPr>
            </w:pPr>
            <w:r>
              <w:rPr>
                <w:rFonts w:ascii="Arial" w:eastAsia="Arial" w:hAnsi="Arial" w:cs="Arial"/>
                <w:b/>
                <w:sz w:val="24"/>
                <w:szCs w:val="24"/>
              </w:rPr>
              <w:t>“Core Service or</w:t>
            </w:r>
          </w:p>
          <w:p w14:paraId="30627F99" w14:textId="77777777" w:rsidR="00D90956" w:rsidRDefault="00185F51">
            <w:pPr>
              <w:spacing w:after="120"/>
              <w:rPr>
                <w:rFonts w:ascii="Arial" w:eastAsia="Arial" w:hAnsi="Arial" w:cs="Arial"/>
                <w:b/>
                <w:sz w:val="24"/>
                <w:szCs w:val="24"/>
              </w:rPr>
            </w:pPr>
            <w:r>
              <w:rPr>
                <w:rFonts w:ascii="Arial" w:eastAsia="Arial" w:hAnsi="Arial" w:cs="Arial"/>
                <w:b/>
                <w:sz w:val="24"/>
                <w:szCs w:val="24"/>
              </w:rPr>
              <w:t>Core Deliverable”</w:t>
            </w:r>
          </w:p>
          <w:p w14:paraId="4DC5EDF1" w14:textId="77777777" w:rsidR="00D90956" w:rsidRDefault="00D90956">
            <w:pPr>
              <w:spacing w:after="120"/>
              <w:rPr>
                <w:rFonts w:ascii="Arial" w:eastAsia="Arial" w:hAnsi="Arial" w:cs="Arial"/>
                <w:b/>
                <w:sz w:val="24"/>
                <w:szCs w:val="24"/>
              </w:rPr>
            </w:pPr>
          </w:p>
        </w:tc>
        <w:tc>
          <w:tcPr>
            <w:tcW w:w="7342" w:type="dxa"/>
            <w:vAlign w:val="center"/>
          </w:tcPr>
          <w:p w14:paraId="3D461CD4" w14:textId="77777777" w:rsidR="00D90956" w:rsidRDefault="00185F51">
            <w:pPr>
              <w:tabs>
                <w:tab w:val="left" w:pos="-179"/>
                <w:tab w:val="left" w:pos="142"/>
              </w:tabs>
              <w:spacing w:after="120"/>
              <w:ind w:left="142" w:right="242"/>
              <w:jc w:val="both"/>
              <w:rPr>
                <w:rFonts w:ascii="Arial" w:eastAsia="Arial" w:hAnsi="Arial" w:cs="Arial"/>
                <w:sz w:val="24"/>
                <w:szCs w:val="24"/>
              </w:rPr>
            </w:pPr>
            <w:r>
              <w:rPr>
                <w:rFonts w:ascii="Arial" w:eastAsia="Arial" w:hAnsi="Arial" w:cs="Arial"/>
                <w:sz w:val="24"/>
                <w:szCs w:val="24"/>
              </w:rPr>
              <w:t>the Services as defined in Framework Schedule 1 – Specification that all Suppliers must be capable of providing on this Framework.</w:t>
            </w:r>
          </w:p>
        </w:tc>
      </w:tr>
      <w:tr w:rsidR="00D90956" w14:paraId="41EB9398" w14:textId="77777777">
        <w:tc>
          <w:tcPr>
            <w:tcW w:w="2691" w:type="dxa"/>
          </w:tcPr>
          <w:p w14:paraId="5C35E93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1B41AF37"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D90956" w14:paraId="61E882D8"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89F40E"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t>“Core Terms Contract”</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8647BA7" w14:textId="60C40668" w:rsidR="00D90956" w:rsidRDefault="00185F51">
            <w:pPr>
              <w:tabs>
                <w:tab w:val="left" w:pos="-179"/>
                <w:tab w:val="left" w:pos="284"/>
              </w:tabs>
              <w:spacing w:after="120"/>
              <w:jc w:val="both"/>
              <w:rPr>
                <w:rFonts w:ascii="Arial" w:eastAsia="Arial" w:hAnsi="Arial" w:cs="Arial"/>
                <w:sz w:val="24"/>
                <w:szCs w:val="24"/>
              </w:rPr>
            </w:pPr>
            <w:r>
              <w:rPr>
                <w:rFonts w:ascii="Arial" w:eastAsia="Arial" w:hAnsi="Arial" w:cs="Arial"/>
                <w:sz w:val="24"/>
                <w:szCs w:val="24"/>
              </w:rPr>
              <w:t xml:space="preserve">Any Contract which is not </w:t>
            </w:r>
            <w:r w:rsidR="0025339C">
              <w:rPr>
                <w:rFonts w:ascii="Arial" w:eastAsia="Arial" w:hAnsi="Arial" w:cs="Arial"/>
                <w:sz w:val="24"/>
                <w:szCs w:val="24"/>
              </w:rPr>
              <w:t>a</w:t>
            </w:r>
            <w:r>
              <w:rPr>
                <w:rFonts w:ascii="Arial" w:eastAsia="Arial" w:hAnsi="Arial" w:cs="Arial"/>
                <w:sz w:val="24"/>
                <w:szCs w:val="24"/>
              </w:rPr>
              <w:t xml:space="preserve"> Call Off Contract entered into using Annex B or C of the applicable Order Form. For the avoidance of doubt a Core Terms Call Off Contract shall be a Core Terms Contract;</w:t>
            </w:r>
          </w:p>
        </w:tc>
      </w:tr>
      <w:tr w:rsidR="00D90956" w14:paraId="229AA6E0" w14:textId="77777777">
        <w:tc>
          <w:tcPr>
            <w:tcW w:w="269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F075C1"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lastRenderedPageBreak/>
              <w:t>“Core Terms Call Off Contract”</w:t>
            </w:r>
          </w:p>
        </w:tc>
        <w:tc>
          <w:tcPr>
            <w:tcW w:w="7342" w:type="dxa"/>
            <w:tcBorders>
              <w:top w:val="nil"/>
              <w:left w:val="nil"/>
              <w:bottom w:val="single" w:sz="8" w:space="0" w:color="000000"/>
              <w:right w:val="single" w:sz="8" w:space="0" w:color="000000"/>
            </w:tcBorders>
            <w:tcMar>
              <w:top w:w="100" w:type="dxa"/>
              <w:left w:w="100" w:type="dxa"/>
              <w:bottom w:w="100" w:type="dxa"/>
              <w:right w:w="100" w:type="dxa"/>
            </w:tcMar>
          </w:tcPr>
          <w:p w14:paraId="36E24C6C" w14:textId="77777777" w:rsidR="00D90956" w:rsidRDefault="00185F51">
            <w:pPr>
              <w:tabs>
                <w:tab w:val="left" w:pos="-179"/>
                <w:tab w:val="left" w:pos="284"/>
              </w:tabs>
              <w:spacing w:after="120"/>
              <w:jc w:val="both"/>
              <w:rPr>
                <w:rFonts w:ascii="Arial" w:eastAsia="Arial" w:hAnsi="Arial" w:cs="Arial"/>
                <w:sz w:val="24"/>
                <w:szCs w:val="24"/>
              </w:rPr>
            </w:pPr>
            <w:r>
              <w:rPr>
                <w:rFonts w:ascii="Arial" w:eastAsia="Arial" w:hAnsi="Arial" w:cs="Arial"/>
                <w:sz w:val="24"/>
                <w:szCs w:val="24"/>
              </w:rPr>
              <w:t>A Call Off Contract entered into using Annex A to the applicable Order Form, and excludes Call Off Contracts entered into using Annex B or C of the applicable Order Form;</w:t>
            </w:r>
          </w:p>
        </w:tc>
      </w:tr>
      <w:tr w:rsidR="00D90956" w14:paraId="2BF3E911" w14:textId="77777777">
        <w:tc>
          <w:tcPr>
            <w:tcW w:w="2691" w:type="dxa"/>
            <w:vAlign w:val="center"/>
          </w:tcPr>
          <w:p w14:paraId="22009879"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“Corporate Overhead” </w:t>
            </w:r>
          </w:p>
        </w:tc>
        <w:tc>
          <w:tcPr>
            <w:tcW w:w="7342" w:type="dxa"/>
            <w:vAlign w:val="center"/>
          </w:tcPr>
          <w:p w14:paraId="0BE61D2C" w14:textId="77777777"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14:paraId="15F9D1D7"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D90956" w14:paraId="0788CB1F" w14:textId="77777777">
        <w:tc>
          <w:tcPr>
            <w:tcW w:w="2691" w:type="dxa"/>
          </w:tcPr>
          <w:p w14:paraId="4741015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t>
            </w:r>
            <w:proofErr w:type="spellStart"/>
            <w:r>
              <w:rPr>
                <w:rFonts w:ascii="Arial" w:eastAsia="Arial" w:hAnsi="Arial" w:cs="Arial"/>
                <w:b/>
                <w:sz w:val="24"/>
                <w:szCs w:val="24"/>
              </w:rPr>
              <w:t>COSoP</w:t>
            </w:r>
            <w:proofErr w:type="spellEnd"/>
            <w:r>
              <w:rPr>
                <w:rFonts w:ascii="Arial" w:eastAsia="Arial" w:hAnsi="Arial" w:cs="Arial"/>
                <w:b/>
                <w:sz w:val="24"/>
                <w:szCs w:val="24"/>
              </w:rPr>
              <w:t>”</w:t>
            </w:r>
          </w:p>
        </w:tc>
        <w:tc>
          <w:tcPr>
            <w:tcW w:w="7342" w:type="dxa"/>
          </w:tcPr>
          <w:p w14:paraId="23DD9ACF"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Cabinet Office Statement of Practice;</w:t>
            </w:r>
          </w:p>
        </w:tc>
      </w:tr>
      <w:tr w:rsidR="00D90956" w14:paraId="103B0A8F" w14:textId="77777777">
        <w:tc>
          <w:tcPr>
            <w:tcW w:w="2691" w:type="dxa"/>
          </w:tcPr>
          <w:p w14:paraId="25E5288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6350625C"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1DDA60C8" w14:textId="77777777" w:rsidR="00D90956" w:rsidRDefault="00185F51">
            <w:pPr>
              <w:numPr>
                <w:ilvl w:val="1"/>
                <w:numId w:val="1"/>
              </w:numPr>
              <w:pBdr>
                <w:top w:val="nil"/>
                <w:left w:val="nil"/>
                <w:bottom w:val="nil"/>
                <w:right w:val="nil"/>
                <w:between w:val="nil"/>
              </w:pBdr>
              <w:tabs>
                <w:tab w:val="left" w:pos="-576"/>
                <w:tab w:val="left" w:pos="270"/>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5DBF87B6"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17C62DA8"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28D24606"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25D50C4E"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7945C1AF"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4243D01"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staff training;</w:t>
            </w:r>
          </w:p>
          <w:p w14:paraId="7D450E86"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5D4B2F9A" w14:textId="77777777" w:rsidR="00D90956" w:rsidRDefault="00185F51">
            <w:pPr>
              <w:numPr>
                <w:ilvl w:val="2"/>
                <w:numId w:val="1"/>
              </w:numPr>
              <w:pBdr>
                <w:top w:val="nil"/>
                <w:left w:val="nil"/>
                <w:bottom w:val="nil"/>
                <w:right w:val="nil"/>
                <w:between w:val="nil"/>
              </w:pBdr>
              <w:tabs>
                <w:tab w:val="left" w:pos="-576"/>
                <w:tab w:val="left" w:pos="144"/>
                <w:tab w:val="left" w:pos="285"/>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286E09C7"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2079E12D"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7EC03291"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2E60DFDC"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5578C613" w14:textId="77777777" w:rsidR="00D90956" w:rsidRDefault="00185F51">
            <w:pPr>
              <w:pBdr>
                <w:top w:val="nil"/>
                <w:left w:val="nil"/>
                <w:bottom w:val="nil"/>
                <w:right w:val="nil"/>
                <w:between w:val="nil"/>
              </w:pBdr>
              <w:tabs>
                <w:tab w:val="left" w:pos="-179"/>
                <w:tab w:val="left" w:pos="284"/>
                <w:tab w:val="left" w:pos="411"/>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b/>
              <w:t>but excluding:</w:t>
            </w:r>
          </w:p>
          <w:p w14:paraId="1553A7DD"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Overhead;</w:t>
            </w:r>
          </w:p>
          <w:p w14:paraId="455B7E69"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620D53AA"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344F9293"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taxation;</w:t>
            </w:r>
          </w:p>
          <w:p w14:paraId="6BB6E7DE"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62EA2103"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4B01698C"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D90956" w14:paraId="530371B8" w14:textId="77777777">
        <w:tc>
          <w:tcPr>
            <w:tcW w:w="2691" w:type="dxa"/>
          </w:tcPr>
          <w:p w14:paraId="4410DC9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“Credit Rating Threshold”</w:t>
            </w:r>
          </w:p>
        </w:tc>
        <w:tc>
          <w:tcPr>
            <w:tcW w:w="7342" w:type="dxa"/>
          </w:tcPr>
          <w:p w14:paraId="55EBD2D1"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Framework Award Form or Order Form, as the context requires;</w:t>
            </w:r>
          </w:p>
        </w:tc>
      </w:tr>
      <w:tr w:rsidR="00D90956" w14:paraId="37B2BD7B" w14:textId="77777777">
        <w:tc>
          <w:tcPr>
            <w:tcW w:w="2691" w:type="dxa"/>
          </w:tcPr>
          <w:p w14:paraId="462E78D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“CRM”</w:t>
            </w:r>
          </w:p>
        </w:tc>
        <w:tc>
          <w:tcPr>
            <w:tcW w:w="7342" w:type="dxa"/>
          </w:tcPr>
          <w:p w14:paraId="7FDF61AA" w14:textId="77777777" w:rsidR="00D90956" w:rsidRDefault="00185F51">
            <w:pPr>
              <w:tabs>
                <w:tab w:val="left" w:pos="284"/>
              </w:tabs>
              <w:ind w:left="284" w:right="242"/>
              <w:rPr>
                <w:rFonts w:ascii="Arial" w:eastAsia="Arial" w:hAnsi="Arial" w:cs="Arial"/>
                <w:sz w:val="24"/>
                <w:szCs w:val="24"/>
              </w:rPr>
            </w:pPr>
            <w:r>
              <w:rPr>
                <w:rFonts w:ascii="Arial" w:eastAsia="Arial" w:hAnsi="Arial" w:cs="Arial"/>
                <w:sz w:val="24"/>
                <w:szCs w:val="24"/>
              </w:rPr>
              <w:t>Customer Relationship Management;</w:t>
            </w:r>
          </w:p>
        </w:tc>
      </w:tr>
      <w:tr w:rsidR="00D90956" w14:paraId="5BD913D3" w14:textId="77777777">
        <w:tc>
          <w:tcPr>
            <w:tcW w:w="2691" w:type="dxa"/>
            <w:vAlign w:val="center"/>
          </w:tcPr>
          <w:p w14:paraId="5F1BE1F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"Crown Body</w:t>
            </w:r>
            <w:r>
              <w:rPr>
                <w:rFonts w:ascii="Arial" w:eastAsia="Arial" w:hAnsi="Arial" w:cs="Arial"/>
                <w:sz w:val="24"/>
                <w:szCs w:val="24"/>
              </w:rPr>
              <w:t>"</w:t>
            </w:r>
          </w:p>
        </w:tc>
        <w:tc>
          <w:tcPr>
            <w:tcW w:w="7342" w:type="dxa"/>
            <w:vAlign w:val="center"/>
          </w:tcPr>
          <w:p w14:paraId="4BB78E40"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 xml:space="preserve">the government of the United Kingdom (including the Northern Ireland Assembly and Executive Committee, the Scottish Executive and the National Assembly for Wales), including, but not limited to, government ministers and government </w:t>
            </w:r>
            <w:r>
              <w:rPr>
                <w:rFonts w:ascii="Arial" w:eastAsia="Arial" w:hAnsi="Arial" w:cs="Arial"/>
                <w:sz w:val="24"/>
                <w:szCs w:val="24"/>
              </w:rPr>
              <w:lastRenderedPageBreak/>
              <w:t>departments and particular bodies, persons, commissions or agencies from time to time carrying out functions on its behalf;</w:t>
            </w:r>
          </w:p>
        </w:tc>
      </w:tr>
      <w:tr w:rsidR="00D90956" w14:paraId="4B969985" w14:textId="77777777">
        <w:tc>
          <w:tcPr>
            <w:tcW w:w="2691" w:type="dxa"/>
          </w:tcPr>
          <w:p w14:paraId="31DA790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25626A5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D90956" w14:paraId="388203C0" w14:textId="77777777">
        <w:tc>
          <w:tcPr>
            <w:tcW w:w="2691" w:type="dxa"/>
          </w:tcPr>
          <w:p w14:paraId="6B8C5E3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Analytics Capability”</w:t>
            </w:r>
          </w:p>
        </w:tc>
        <w:tc>
          <w:tcPr>
            <w:tcW w:w="7342" w:type="dxa"/>
          </w:tcPr>
          <w:p w14:paraId="0306D766" w14:textId="77777777" w:rsidR="00D90956" w:rsidRDefault="00185F51">
            <w:pPr>
              <w:tabs>
                <w:tab w:val="left" w:pos="284"/>
              </w:tabs>
              <w:ind w:left="284" w:right="242"/>
              <w:rPr>
                <w:rFonts w:ascii="Arial" w:eastAsia="Arial" w:hAnsi="Arial" w:cs="Arial"/>
                <w:sz w:val="24"/>
                <w:szCs w:val="24"/>
              </w:rPr>
            </w:pPr>
            <w:r>
              <w:rPr>
                <w:rFonts w:ascii="Arial" w:eastAsia="Arial" w:hAnsi="Arial" w:cs="Arial"/>
                <w:color w:val="202124"/>
                <w:sz w:val="24"/>
                <w:szCs w:val="24"/>
                <w:highlight w:val="white"/>
              </w:rPr>
              <w:t>the application of advanced analysis to discover deep insights, make predictions and generate recommendations;</w:t>
            </w:r>
          </w:p>
        </w:tc>
      </w:tr>
      <w:tr w:rsidR="00D90956" w14:paraId="74F1B405" w14:textId="77777777">
        <w:tc>
          <w:tcPr>
            <w:tcW w:w="2691" w:type="dxa"/>
          </w:tcPr>
          <w:p w14:paraId="6ED6B03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3D335286"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D90956" w14:paraId="02CFB1DA" w14:textId="77777777">
        <w:tc>
          <w:tcPr>
            <w:tcW w:w="2691" w:type="dxa"/>
          </w:tcPr>
          <w:p w14:paraId="77941FB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0892CD03"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D90956" w14:paraId="0E2429EA" w14:textId="77777777">
        <w:tc>
          <w:tcPr>
            <w:tcW w:w="2691" w:type="dxa"/>
          </w:tcPr>
          <w:p w14:paraId="74E6AFC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50F2D00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D90956" w14:paraId="5A5FC157" w14:textId="77777777">
        <w:tc>
          <w:tcPr>
            <w:tcW w:w="2691" w:type="dxa"/>
          </w:tcPr>
          <w:p w14:paraId="1C68A96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7637EBD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6C99A9E5" w14:textId="77777777">
        <w:tc>
          <w:tcPr>
            <w:tcW w:w="2691" w:type="dxa"/>
          </w:tcPr>
          <w:p w14:paraId="26891AD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Services”</w:t>
            </w:r>
          </w:p>
        </w:tc>
        <w:tc>
          <w:tcPr>
            <w:tcW w:w="7342" w:type="dxa"/>
          </w:tcPr>
          <w:p w14:paraId="74D6B98F"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color w:val="202124"/>
                <w:sz w:val="24"/>
                <w:szCs w:val="24"/>
                <w:highlight w:val="white"/>
              </w:rPr>
              <w:t xml:space="preserve"> third-party Services that help to manage data for clients;</w:t>
            </w:r>
          </w:p>
        </w:tc>
      </w:tr>
      <w:tr w:rsidR="00D90956" w14:paraId="60E65F5F" w14:textId="77777777">
        <w:tc>
          <w:tcPr>
            <w:tcW w:w="2691" w:type="dxa"/>
          </w:tcPr>
          <w:p w14:paraId="5E17954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49C68B9A"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06F94F3C" w14:textId="77777777">
        <w:tc>
          <w:tcPr>
            <w:tcW w:w="2691" w:type="dxa"/>
          </w:tcPr>
          <w:p w14:paraId="00E5A3D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04CB5144"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D90956" w14:paraId="13F5E1D7" w14:textId="77777777">
        <w:tc>
          <w:tcPr>
            <w:tcW w:w="2691" w:type="dxa"/>
          </w:tcPr>
          <w:p w14:paraId="2561723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Audit”</w:t>
            </w:r>
          </w:p>
        </w:tc>
        <w:tc>
          <w:tcPr>
            <w:tcW w:w="7342" w:type="dxa"/>
          </w:tcPr>
          <w:p w14:paraId="26688CFF" w14:textId="77777777" w:rsidR="00D90956" w:rsidRDefault="00185F51">
            <w:pPr>
              <w:tabs>
                <w:tab w:val="left" w:pos="284"/>
              </w:tabs>
              <w:spacing w:before="240" w:after="240"/>
              <w:ind w:left="360" w:right="248"/>
              <w:jc w:val="both"/>
              <w:rPr>
                <w:rFonts w:ascii="Arial" w:eastAsia="Arial" w:hAnsi="Arial" w:cs="Arial"/>
                <w:color w:val="000000"/>
                <w:sz w:val="24"/>
                <w:szCs w:val="24"/>
              </w:rPr>
            </w:pPr>
            <w:r>
              <w:rPr>
                <w:rFonts w:ascii="Arial" w:eastAsia="Arial" w:hAnsi="Arial" w:cs="Arial"/>
                <w:color w:val="000000"/>
                <w:sz w:val="24"/>
                <w:szCs w:val="24"/>
              </w:rPr>
              <w:t>an audit on the due diligence data provided by the Buyer to ensure that potential errors, inaccuracies or omissions in the Service data issued by the outgoing Supplier are identified.</w:t>
            </w:r>
          </w:p>
        </w:tc>
      </w:tr>
      <w:tr w:rsidR="00D90956" w14:paraId="26F3AD31" w14:textId="77777777">
        <w:tc>
          <w:tcPr>
            <w:tcW w:w="2691" w:type="dxa"/>
          </w:tcPr>
          <w:p w14:paraId="5AE5A85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Report”</w:t>
            </w:r>
          </w:p>
        </w:tc>
        <w:tc>
          <w:tcPr>
            <w:tcW w:w="7342" w:type="dxa"/>
          </w:tcPr>
          <w:p w14:paraId="37788E31" w14:textId="77777777" w:rsidR="00D90956" w:rsidRDefault="00185F51">
            <w:pPr>
              <w:tabs>
                <w:tab w:val="left" w:pos="284"/>
              </w:tabs>
              <w:spacing w:before="240" w:after="240"/>
              <w:ind w:left="284" w:right="248" w:hanging="142"/>
              <w:jc w:val="both"/>
              <w:rPr>
                <w:rFonts w:ascii="Arial" w:eastAsia="Arial" w:hAnsi="Arial" w:cs="Arial"/>
                <w:color w:val="000000"/>
                <w:sz w:val="24"/>
                <w:szCs w:val="24"/>
              </w:rPr>
            </w:pPr>
            <w:r>
              <w:rPr>
                <w:rFonts w:ascii="Arial" w:eastAsia="Arial" w:hAnsi="Arial" w:cs="Arial"/>
                <w:color w:val="000000"/>
                <w:sz w:val="24"/>
                <w:szCs w:val="24"/>
              </w:rPr>
              <w:t xml:space="preserve"> is the report that the Supplier will produce to detail the findings and remedial action required to address any errors, inaccuracies or omissions identified in the “Data Validation Audit” where revisions to the Service data may, where agreed with the Buyer, necessitate revisions to the “Services” and/or “Charges” to ensure compliance with the Buyer’s statutory and/or insurance obligations;</w:t>
            </w:r>
          </w:p>
        </w:tc>
      </w:tr>
      <w:tr w:rsidR="00D90956" w14:paraId="3CD9AA3A" w14:textId="77777777">
        <w:tc>
          <w:tcPr>
            <w:tcW w:w="2691" w:type="dxa"/>
          </w:tcPr>
          <w:p w14:paraId="6D47FDE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“DBS”</w:t>
            </w:r>
          </w:p>
        </w:tc>
        <w:tc>
          <w:tcPr>
            <w:tcW w:w="7342" w:type="dxa"/>
          </w:tcPr>
          <w:p w14:paraId="7DE45D3B"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sz w:val="24"/>
                <w:szCs w:val="24"/>
              </w:rPr>
              <w:t>Disclosure and Barring Service;</w:t>
            </w:r>
          </w:p>
        </w:tc>
      </w:tr>
      <w:tr w:rsidR="00D90956" w14:paraId="2AB43AA1" w14:textId="77777777">
        <w:tc>
          <w:tcPr>
            <w:tcW w:w="2691" w:type="dxa"/>
          </w:tcPr>
          <w:p w14:paraId="05644E6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"Deductions"</w:t>
            </w:r>
          </w:p>
        </w:tc>
        <w:tc>
          <w:tcPr>
            <w:tcW w:w="7342" w:type="dxa"/>
          </w:tcPr>
          <w:p w14:paraId="7420D5BA"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D90956" w14:paraId="0953E8BC" w14:textId="77777777">
        <w:tc>
          <w:tcPr>
            <w:tcW w:w="2691" w:type="dxa"/>
          </w:tcPr>
          <w:p w14:paraId="5F3A084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505C8B2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D90956" w14:paraId="16ACF1E6" w14:textId="77777777">
        <w:tc>
          <w:tcPr>
            <w:tcW w:w="2691" w:type="dxa"/>
          </w:tcPr>
          <w:p w14:paraId="73142E4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6840BD5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D90956" w14:paraId="20DB3C60" w14:textId="77777777">
        <w:tc>
          <w:tcPr>
            <w:tcW w:w="2691" w:type="dxa"/>
          </w:tcPr>
          <w:p w14:paraId="03C8D3F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4A790C5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Mobilisation Plan;</w:t>
            </w:r>
          </w:p>
        </w:tc>
      </w:tr>
      <w:tr w:rsidR="00D90956" w14:paraId="5FC3B083" w14:textId="77777777">
        <w:tc>
          <w:tcPr>
            <w:tcW w:w="2691" w:type="dxa"/>
          </w:tcPr>
          <w:p w14:paraId="15A7EF6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669791DD"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D90956" w14:paraId="1CB0141F" w14:textId="77777777">
        <w:tc>
          <w:tcPr>
            <w:tcW w:w="2691" w:type="dxa"/>
          </w:tcPr>
          <w:p w14:paraId="71577AA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4408B261"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D90956" w14:paraId="5D56900D" w14:textId="77777777">
        <w:tc>
          <w:tcPr>
            <w:tcW w:w="2691" w:type="dxa"/>
            <w:vAlign w:val="center"/>
          </w:tcPr>
          <w:p w14:paraId="2A00BDC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“Direct Award”</w:t>
            </w:r>
          </w:p>
        </w:tc>
        <w:tc>
          <w:tcPr>
            <w:tcW w:w="7342" w:type="dxa"/>
            <w:vAlign w:val="center"/>
          </w:tcPr>
          <w:p w14:paraId="797D774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means the award of a Contract directly to a </w:t>
            </w:r>
            <w:r>
              <w:rPr>
                <w:rFonts w:ascii="Arial" w:eastAsia="Arial" w:hAnsi="Arial" w:cs="Arial"/>
                <w:sz w:val="24"/>
                <w:szCs w:val="24"/>
              </w:rPr>
              <w:t>Supplier</w:t>
            </w:r>
            <w:r>
              <w:rPr>
                <w:rFonts w:ascii="Arial" w:eastAsia="Arial" w:hAnsi="Arial" w:cs="Arial"/>
                <w:color w:val="000000"/>
                <w:sz w:val="24"/>
                <w:szCs w:val="24"/>
              </w:rPr>
              <w:t xml:space="preserve"> without the need for a Further Competition as per the process detailed in Framework Schedule 7</w:t>
            </w:r>
          </w:p>
        </w:tc>
      </w:tr>
      <w:tr w:rsidR="00D90956" w14:paraId="4D33F180" w14:textId="77777777">
        <w:tc>
          <w:tcPr>
            <w:tcW w:w="2691" w:type="dxa"/>
            <w:vAlign w:val="center"/>
          </w:tcPr>
          <w:p w14:paraId="5CE11CD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“Direct Award Process”</w:t>
            </w:r>
          </w:p>
        </w:tc>
        <w:tc>
          <w:tcPr>
            <w:tcW w:w="7342" w:type="dxa"/>
            <w:vAlign w:val="center"/>
          </w:tcPr>
          <w:p w14:paraId="431D117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process as described in Framework Schedule 7 – Call Off Procedure and Award Criteria.</w:t>
            </w:r>
          </w:p>
        </w:tc>
      </w:tr>
      <w:tr w:rsidR="00D90956" w14:paraId="463631F1" w14:textId="77777777">
        <w:tc>
          <w:tcPr>
            <w:tcW w:w="2691" w:type="dxa"/>
          </w:tcPr>
          <w:p w14:paraId="5CC48B3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7B1DEDB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D90956" w14:paraId="63C7A5F5" w14:textId="77777777">
        <w:tc>
          <w:tcPr>
            <w:tcW w:w="2691" w:type="dxa"/>
          </w:tcPr>
          <w:p w14:paraId="2826D314"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342" w:type="dxa"/>
          </w:tcPr>
          <w:p w14:paraId="747C68A6"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any claim, dispute or difference (whether contractual or non-contractual) arising out of or in connection with a Core Terms Contract or in connection with the negotiation, existence, legal validity, enforceability or termination of the Core Terms Contract, whether the alleged liability shall arise under English law or under the law of some other country and regardless of whether a particular cause of action may successfully be brought in the English courts;</w:t>
            </w:r>
          </w:p>
        </w:tc>
      </w:tr>
      <w:tr w:rsidR="00D90956" w14:paraId="3E02D923" w14:textId="77777777">
        <w:tc>
          <w:tcPr>
            <w:tcW w:w="2691" w:type="dxa"/>
          </w:tcPr>
          <w:p w14:paraId="7D36995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32A6A48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D90956" w14:paraId="58EA89C9" w14:textId="77777777">
        <w:tc>
          <w:tcPr>
            <w:tcW w:w="2691" w:type="dxa"/>
          </w:tcPr>
          <w:p w14:paraId="0E50E47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505A61E8"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366ADA99"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3C50E6D7"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6B495FC"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D90956" w14:paraId="7BD55D30" w14:textId="77777777">
        <w:tc>
          <w:tcPr>
            <w:tcW w:w="2691" w:type="dxa"/>
          </w:tcPr>
          <w:p w14:paraId="38B4C86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0A79C05D"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D90956" w14:paraId="5FFB035B" w14:textId="77777777">
        <w:tc>
          <w:tcPr>
            <w:tcW w:w="2691" w:type="dxa"/>
          </w:tcPr>
          <w:p w14:paraId="4364FD7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145D726A"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D90956" w14:paraId="2F2F34A6" w14:textId="77777777">
        <w:tc>
          <w:tcPr>
            <w:tcW w:w="2691" w:type="dxa"/>
          </w:tcPr>
          <w:p w14:paraId="3BBC926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4C4932D0"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D90956" w14:paraId="6BE48ECE" w14:textId="77777777">
        <w:tc>
          <w:tcPr>
            <w:tcW w:w="2691" w:type="dxa"/>
            <w:vAlign w:val="center"/>
          </w:tcPr>
          <w:p w14:paraId="41038B0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"Earn Back Amount"</w:t>
            </w:r>
          </w:p>
        </w:tc>
        <w:tc>
          <w:tcPr>
            <w:tcW w:w="7342" w:type="dxa"/>
            <w:vAlign w:val="center"/>
          </w:tcPr>
          <w:p w14:paraId="3FF9C417"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is the earn back amount as calculated in accordance with Call-Off Schedule 14 (Key Performance Indicators);</w:t>
            </w:r>
          </w:p>
        </w:tc>
      </w:tr>
      <w:tr w:rsidR="00D90956" w14:paraId="7A24C3FC" w14:textId="77777777">
        <w:tc>
          <w:tcPr>
            <w:tcW w:w="2691" w:type="dxa"/>
          </w:tcPr>
          <w:p w14:paraId="3A47569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5DD2C6E2"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D90956" w14:paraId="16B84291" w14:textId="77777777">
        <w:tc>
          <w:tcPr>
            <w:tcW w:w="2691" w:type="dxa"/>
          </w:tcPr>
          <w:p w14:paraId="6F7F8C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"EIR"</w:t>
            </w:r>
          </w:p>
        </w:tc>
        <w:tc>
          <w:tcPr>
            <w:tcW w:w="7342" w:type="dxa"/>
          </w:tcPr>
          <w:p w14:paraId="0B38A255"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D90956" w14:paraId="77DE3249" w14:textId="77777777">
        <w:tc>
          <w:tcPr>
            <w:tcW w:w="2691" w:type="dxa"/>
          </w:tcPr>
          <w:p w14:paraId="35DE642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2FB618B2"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D90956" w14:paraId="45180AF0" w14:textId="77777777">
        <w:tc>
          <w:tcPr>
            <w:tcW w:w="2691" w:type="dxa"/>
          </w:tcPr>
          <w:p w14:paraId="223C219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“Electronic Reverse Auction”</w:t>
            </w:r>
          </w:p>
        </w:tc>
        <w:tc>
          <w:tcPr>
            <w:tcW w:w="7342" w:type="dxa"/>
          </w:tcPr>
          <w:p w14:paraId="77E2710D"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 auction, where Suppliers compete in real time by bidding as the auction unfolds as described within Framework Schedule 7 - Call Off Award Procedure.</w:t>
            </w:r>
          </w:p>
        </w:tc>
      </w:tr>
      <w:tr w:rsidR="00D90956" w14:paraId="3D4C44D1" w14:textId="77777777">
        <w:tc>
          <w:tcPr>
            <w:tcW w:w="2691" w:type="dxa"/>
            <w:vAlign w:val="center"/>
          </w:tcPr>
          <w:p w14:paraId="466885E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"Employer Pension Contribution Cap"</w:t>
            </w:r>
          </w:p>
        </w:tc>
        <w:tc>
          <w:tcPr>
            <w:tcW w:w="7342" w:type="dxa"/>
            <w:vAlign w:val="center"/>
          </w:tcPr>
          <w:p w14:paraId="32E604A0"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the 6% maximum rate of employer pension contribution used in the calculation of the TUPE Risk Premium;</w:t>
            </w:r>
          </w:p>
        </w:tc>
      </w:tr>
      <w:tr w:rsidR="00D90956" w14:paraId="7AF372E8" w14:textId="77777777">
        <w:tc>
          <w:tcPr>
            <w:tcW w:w="2691" w:type="dxa"/>
          </w:tcPr>
          <w:p w14:paraId="31F8E5D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3496096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D90956" w14:paraId="49AA0B75" w14:textId="77777777">
        <w:tc>
          <w:tcPr>
            <w:tcW w:w="2691" w:type="dxa"/>
          </w:tcPr>
          <w:p w14:paraId="688C1AD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61EEFEAD"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28AD18C0" w14:textId="77777777" w:rsidR="00D90956" w:rsidRDefault="00185F51">
            <w:pPr>
              <w:numPr>
                <w:ilvl w:val="1"/>
                <w:numId w:val="6"/>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Core Term Clause 10.1.2); or</w:t>
            </w:r>
          </w:p>
          <w:p w14:paraId="139B58CA" w14:textId="77777777" w:rsidR="00D90956" w:rsidRDefault="00185F51">
            <w:pPr>
              <w:numPr>
                <w:ilvl w:val="1"/>
                <w:numId w:val="6"/>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D90956" w14:paraId="72D207E0" w14:textId="77777777">
        <w:tc>
          <w:tcPr>
            <w:tcW w:w="2691" w:type="dxa"/>
          </w:tcPr>
          <w:p w14:paraId="1B866BB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0EDDECC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D90956" w14:paraId="11368462" w14:textId="77777777">
        <w:tc>
          <w:tcPr>
            <w:tcW w:w="2691" w:type="dxa"/>
          </w:tcPr>
          <w:p w14:paraId="7E851E4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53E8489D"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90956" w14:paraId="51EA1BE2" w14:textId="77777777">
        <w:tc>
          <w:tcPr>
            <w:tcW w:w="2691" w:type="dxa"/>
          </w:tcPr>
          <w:p w14:paraId="738152C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“ERP”</w:t>
            </w:r>
          </w:p>
        </w:tc>
        <w:tc>
          <w:tcPr>
            <w:tcW w:w="7342" w:type="dxa"/>
          </w:tcPr>
          <w:p w14:paraId="4352934F"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sz w:val="24"/>
                <w:szCs w:val="24"/>
              </w:rPr>
              <w:t>Enterprise Resource Planning;</w:t>
            </w:r>
          </w:p>
        </w:tc>
      </w:tr>
      <w:tr w:rsidR="00D90956" w14:paraId="569AD7C3" w14:textId="77777777">
        <w:trPr>
          <w:trHeight w:val="1350"/>
        </w:trPr>
        <w:tc>
          <w:tcPr>
            <w:tcW w:w="2691" w:type="dxa"/>
          </w:tcPr>
          <w:p w14:paraId="1D3C934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37EBE7E2"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702BAD0E" w14:textId="77777777" w:rsidR="00D90956" w:rsidRDefault="00D90956">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
        </w:tc>
      </w:tr>
    </w:tbl>
    <w:p w14:paraId="0D54406A" w14:textId="77777777" w:rsidR="00D90956" w:rsidRDefault="00D90956">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10044"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50"/>
      </w:tblGrid>
      <w:tr w:rsidR="00D90956" w14:paraId="637262C3" w14:textId="77777777">
        <w:trPr>
          <w:trHeight w:val="1170"/>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437DD8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“Estimated Annual Contract Cost”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1E3B4929" w14:textId="77777777"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the estimated annual value of the Call Off Contract (including Billable Works) provided by the Buyer, used in order to determine the appropriate Lot group.</w:t>
            </w:r>
          </w:p>
        </w:tc>
      </w:tr>
      <w:tr w:rsidR="00D90956" w14:paraId="220F4197"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643CD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623DC797" w14:textId="5E90B1A6"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 xml:space="preserve">for the purposes of calculating each Party’s annual liability under clause </w:t>
            </w:r>
            <w:r w:rsidR="0025339C">
              <w:rPr>
                <w:rFonts w:ascii="Arial" w:eastAsia="Arial" w:hAnsi="Arial" w:cs="Arial"/>
                <w:color w:val="000000"/>
                <w:sz w:val="24"/>
                <w:szCs w:val="24"/>
              </w:rPr>
              <w:t>12.2:</w:t>
            </w:r>
          </w:p>
          <w:p w14:paraId="771ED50D" w14:textId="77777777" w:rsidR="00D90956" w:rsidRDefault="00185F51">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74E054D2" w14:textId="77777777" w:rsidR="00D90956" w:rsidRDefault="00185F51">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5D22FB4B" w14:textId="77777777" w:rsidR="00D90956" w:rsidRDefault="00185F51">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D90956" w14:paraId="7579FDDC"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E54136D"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“Ethical Wall”</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7A00B5" w14:textId="358AC702"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sz w:val="24"/>
                <w:szCs w:val="24"/>
              </w:rPr>
            </w:pPr>
            <w:bookmarkStart w:id="7" w:name="_heading=h.1t3h5sf" w:colFirst="0" w:colLast="0"/>
            <w:bookmarkEnd w:id="7"/>
            <w:r>
              <w:rPr>
                <w:rFonts w:ascii="Arial" w:eastAsia="Arial" w:hAnsi="Arial" w:cs="Arial"/>
                <w:sz w:val="24"/>
                <w:szCs w:val="24"/>
              </w:rPr>
              <w:t xml:space="preserve">a method of preventing information from being shared or communicated to avoid conflicts of interests within the Supplier’s organisation in line with Core Terms 32.1 </w:t>
            </w:r>
            <w:r w:rsidR="0025339C">
              <w:rPr>
                <w:rFonts w:ascii="Arial" w:eastAsia="Arial" w:hAnsi="Arial" w:cs="Arial"/>
                <w:sz w:val="24"/>
                <w:szCs w:val="24"/>
              </w:rPr>
              <w:t>and as</w:t>
            </w:r>
            <w:r>
              <w:rPr>
                <w:rFonts w:ascii="Arial" w:eastAsia="Arial" w:hAnsi="Arial" w:cs="Arial"/>
                <w:sz w:val="24"/>
                <w:szCs w:val="24"/>
              </w:rPr>
              <w:t xml:space="preserve"> referenced within Call-Off Schedule 25 – Billable Works and Projects;</w:t>
            </w:r>
          </w:p>
        </w:tc>
      </w:tr>
      <w:tr w:rsidR="00D90956" w14:paraId="00D69700"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40CE68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"Exclusive Assets"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F4510F" w14:textId="77777777"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sz w:val="24"/>
                <w:szCs w:val="24"/>
              </w:rPr>
              <w:t>Supplier Assets used exclusively by the Supplier or a Key Subcontractor in the provision of the Deliverables;</w:t>
            </w:r>
          </w:p>
        </w:tc>
      </w:tr>
      <w:tr w:rsidR="00D90956" w14:paraId="79BF93B9"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6B99B7"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t>“Execution Document”</w:t>
            </w:r>
          </w:p>
        </w:tc>
        <w:tc>
          <w:tcPr>
            <w:tcW w:w="73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1F4DC99" w14:textId="77777777" w:rsidR="00D90956" w:rsidRDefault="00185F51">
            <w:pPr>
              <w:tabs>
                <w:tab w:val="left" w:pos="-179"/>
              </w:tabs>
              <w:spacing w:after="120"/>
              <w:ind w:left="160"/>
              <w:jc w:val="both"/>
              <w:rPr>
                <w:rFonts w:ascii="Arial" w:eastAsia="Arial" w:hAnsi="Arial" w:cs="Arial"/>
                <w:sz w:val="24"/>
                <w:szCs w:val="24"/>
              </w:rPr>
            </w:pPr>
            <w:r>
              <w:rPr>
                <w:rFonts w:ascii="Arial" w:eastAsia="Arial" w:hAnsi="Arial" w:cs="Arial"/>
                <w:sz w:val="24"/>
                <w:szCs w:val="24"/>
              </w:rPr>
              <w:t>means for a Non-Core Terms Call Off Contract, the document used to execute the Call Off Contract as specified in the Order Form;</w:t>
            </w:r>
          </w:p>
        </w:tc>
      </w:tr>
      <w:tr w:rsidR="00D90956" w14:paraId="6E7B2715"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931E9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Buyer”</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80A30FF" w14:textId="77777777" w:rsidR="00D90956" w:rsidRDefault="00185F51">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7A0676CF" w14:textId="77777777" w:rsidR="00D90956" w:rsidRDefault="00185F51">
            <w:pPr>
              <w:pBdr>
                <w:top w:val="nil"/>
                <w:left w:val="nil"/>
                <w:bottom w:val="nil"/>
                <w:right w:val="nil"/>
                <w:between w:val="nil"/>
              </w:pBdr>
              <w:tabs>
                <w:tab w:val="left" w:pos="-179"/>
                <w:tab w:val="left" w:pos="-9"/>
              </w:tabs>
              <w:spacing w:after="120"/>
              <w:ind w:left="174" w:right="152"/>
              <w:jc w:val="both"/>
              <w:rPr>
                <w:rFonts w:ascii="Arial" w:eastAsia="Arial" w:hAnsi="Arial" w:cs="Arial"/>
                <w:sz w:val="24"/>
                <w:szCs w:val="24"/>
              </w:rPr>
            </w:pPr>
            <w:r>
              <w:rPr>
                <w:rFonts w:ascii="Arial" w:eastAsia="Arial" w:hAnsi="Arial" w:cs="Arial"/>
                <w:color w:val="000000"/>
                <w:sz w:val="24"/>
                <w:szCs w:val="24"/>
              </w:rPr>
              <w:t>eligible to use the Framework Contract; and</w:t>
            </w:r>
            <w:r>
              <w:rPr>
                <w:rFonts w:ascii="Arial" w:eastAsia="Arial" w:hAnsi="Arial" w:cs="Arial"/>
                <w:sz w:val="24"/>
                <w:szCs w:val="24"/>
              </w:rPr>
              <w:t xml:space="preserve"> </w:t>
            </w:r>
            <w:r>
              <w:rPr>
                <w:rFonts w:ascii="Arial" w:eastAsia="Arial" w:hAnsi="Arial" w:cs="Arial"/>
                <w:color w:val="000000"/>
                <w:sz w:val="24"/>
                <w:szCs w:val="24"/>
              </w:rPr>
              <w:t>is entering into an Exempt Call-off Contract that is not subject to (as applicable) any of:</w:t>
            </w:r>
          </w:p>
          <w:p w14:paraId="6508CAAC"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Regulations;</w:t>
            </w:r>
          </w:p>
          <w:p w14:paraId="1D5422D8"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Concession Contracts Regulations 2016 (SI 2016/273);</w:t>
            </w:r>
          </w:p>
          <w:p w14:paraId="3FC983B2"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Utilities Contracts Regulations 2016 (SI 2016/274);</w:t>
            </w:r>
          </w:p>
          <w:p w14:paraId="30CE2B97"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Defence and Security Public Contracts Regulations 2011 (SI 2011/1848);</w:t>
            </w:r>
          </w:p>
          <w:p w14:paraId="706B1738"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Remedies Directive (2007/66/EC);</w:t>
            </w:r>
          </w:p>
          <w:p w14:paraId="5766B79A"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2014/23/EU of the European Parliament and Council;</w:t>
            </w:r>
          </w:p>
          <w:p w14:paraId="1A9E7D51"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lastRenderedPageBreak/>
              <w:t>Directive 2014/24/EU of the European Parliament and Council;</w:t>
            </w:r>
          </w:p>
          <w:p w14:paraId="4D3A5541"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2014/25/EU of the European Parliament and Council; or</w:t>
            </w:r>
          </w:p>
          <w:p w14:paraId="51E58DBB"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2009/81/EC of the European Parliament and Council;</w:t>
            </w:r>
          </w:p>
        </w:tc>
      </w:tr>
      <w:tr w:rsidR="00D90956" w14:paraId="53141E11"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5973CE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“Exempt Call-Off Contract”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16082F87" w14:textId="77777777" w:rsidR="00D90956" w:rsidRDefault="00185F51">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D90956" w14:paraId="7BF38873" w14:textId="77777777">
        <w:trPr>
          <w:trHeight w:val="1442"/>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D24BB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2FAF87A5" w14:textId="77777777" w:rsidR="00D90956" w:rsidRDefault="00185F51">
            <w:pPr>
              <w:pBdr>
                <w:top w:val="nil"/>
                <w:left w:val="nil"/>
                <w:bottom w:val="nil"/>
                <w:right w:val="nil"/>
                <w:between w:val="nil"/>
              </w:pBdr>
              <w:ind w:left="174" w:right="152"/>
              <w:jc w:val="both"/>
              <w:rPr>
                <w:rFonts w:ascii="Arial" w:eastAsia="Arial" w:hAnsi="Arial" w:cs="Arial"/>
                <w:color w:val="000000"/>
                <w:sz w:val="24"/>
                <w:szCs w:val="24"/>
              </w:rPr>
            </w:pPr>
            <w:bookmarkStart w:id="8" w:name="_heading=h.3znysh7" w:colFirst="0" w:colLast="0"/>
            <w:bookmarkEnd w:id="8"/>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48C696DE" w14:textId="77777777" w:rsidR="00D90956" w:rsidRDefault="00D90956">
      <w:pPr>
        <w:widowControl w:val="0"/>
        <w:pBdr>
          <w:top w:val="nil"/>
          <w:left w:val="nil"/>
          <w:bottom w:val="nil"/>
          <w:right w:val="nil"/>
          <w:between w:val="nil"/>
        </w:pBdr>
        <w:spacing w:after="0"/>
        <w:rPr>
          <w:rFonts w:ascii="Arial" w:eastAsia="Arial" w:hAnsi="Arial" w:cs="Arial"/>
          <w:color w:val="000000"/>
          <w:sz w:val="24"/>
          <w:szCs w:val="24"/>
        </w:rPr>
      </w:pPr>
    </w:p>
    <w:tbl>
      <w:tblPr>
        <w:tblStyle w:val="a4"/>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71"/>
      </w:tblGrid>
      <w:tr w:rsidR="00D90956" w14:paraId="1CE0B405" w14:textId="77777777">
        <w:tc>
          <w:tcPr>
            <w:tcW w:w="2694" w:type="dxa"/>
          </w:tcPr>
          <w:p w14:paraId="05969C7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"Existing IPR"</w:t>
            </w:r>
          </w:p>
        </w:tc>
        <w:tc>
          <w:tcPr>
            <w:tcW w:w="7371" w:type="dxa"/>
          </w:tcPr>
          <w:p w14:paraId="7DFE3914"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D90956" w14:paraId="2CF30A9F" w14:textId="77777777">
        <w:tc>
          <w:tcPr>
            <w:tcW w:w="2694" w:type="dxa"/>
          </w:tcPr>
          <w:p w14:paraId="7366F21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"Existing Service"</w:t>
            </w:r>
          </w:p>
        </w:tc>
        <w:tc>
          <w:tcPr>
            <w:tcW w:w="7371" w:type="dxa"/>
          </w:tcPr>
          <w:p w14:paraId="4F633B9E" w14:textId="77777777" w:rsidR="00D90956" w:rsidRDefault="00185F51">
            <w:pPr>
              <w:tabs>
                <w:tab w:val="left" w:pos="284"/>
              </w:tabs>
              <w:ind w:left="284" w:right="141"/>
              <w:rPr>
                <w:rFonts w:ascii="Arial" w:eastAsia="Arial" w:hAnsi="Arial" w:cs="Arial"/>
                <w:sz w:val="24"/>
                <w:szCs w:val="24"/>
              </w:rPr>
            </w:pPr>
            <w:r>
              <w:rPr>
                <w:rFonts w:ascii="Arial" w:eastAsia="Arial" w:hAnsi="Arial" w:cs="Arial"/>
                <w:sz w:val="24"/>
                <w:szCs w:val="24"/>
              </w:rPr>
              <w:t>a service that is already being provided either in-house or outsourced;</w:t>
            </w:r>
          </w:p>
        </w:tc>
      </w:tr>
      <w:tr w:rsidR="00D90956" w14:paraId="58A7E9F2" w14:textId="77777777">
        <w:tc>
          <w:tcPr>
            <w:tcW w:w="2694" w:type="dxa"/>
          </w:tcPr>
          <w:p w14:paraId="02EB30A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“Exit Day”</w:t>
            </w:r>
          </w:p>
        </w:tc>
        <w:tc>
          <w:tcPr>
            <w:tcW w:w="7371" w:type="dxa"/>
          </w:tcPr>
          <w:p w14:paraId="13B66E08"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D90956" w14:paraId="05CCCAA7" w14:textId="77777777">
        <w:tc>
          <w:tcPr>
            <w:tcW w:w="2694" w:type="dxa"/>
          </w:tcPr>
          <w:p w14:paraId="3CC6CCD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"Expiry Date"</w:t>
            </w:r>
          </w:p>
        </w:tc>
        <w:tc>
          <w:tcPr>
            <w:tcW w:w="7371" w:type="dxa"/>
          </w:tcPr>
          <w:p w14:paraId="31AE4654" w14:textId="77777777" w:rsidR="00D90956" w:rsidRDefault="00185F51">
            <w:pPr>
              <w:pBdr>
                <w:top w:val="nil"/>
                <w:left w:val="nil"/>
                <w:bottom w:val="nil"/>
                <w:right w:val="nil"/>
                <w:between w:val="nil"/>
              </w:pBdr>
              <w:tabs>
                <w:tab w:val="left" w:pos="-576"/>
                <w:tab w:val="left" w:pos="144"/>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D90956" w14:paraId="267F460D" w14:textId="77777777">
        <w:tc>
          <w:tcPr>
            <w:tcW w:w="2694" w:type="dxa"/>
          </w:tcPr>
          <w:p w14:paraId="1C871CB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“Expression of Interest or EOI”</w:t>
            </w:r>
          </w:p>
        </w:tc>
        <w:tc>
          <w:tcPr>
            <w:tcW w:w="7371" w:type="dxa"/>
          </w:tcPr>
          <w:p w14:paraId="06668815"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notification given by the Supplier to the Buyer, expressing their interest in an upcoming opportunity; </w:t>
            </w:r>
          </w:p>
        </w:tc>
      </w:tr>
      <w:tr w:rsidR="00D90956" w14:paraId="48744696" w14:textId="77777777">
        <w:tc>
          <w:tcPr>
            <w:tcW w:w="2694" w:type="dxa"/>
          </w:tcPr>
          <w:p w14:paraId="7BAF31F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71" w:type="dxa"/>
          </w:tcPr>
          <w:p w14:paraId="0B1BE6DC"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Call-Off Optional Extension Period.</w:t>
            </w:r>
          </w:p>
        </w:tc>
      </w:tr>
      <w:tr w:rsidR="00D90956" w14:paraId="1DE7C9DD" w14:textId="77777777">
        <w:tc>
          <w:tcPr>
            <w:tcW w:w="2694" w:type="dxa"/>
          </w:tcPr>
          <w:p w14:paraId="2FC4B8F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7371" w:type="dxa"/>
          </w:tcPr>
          <w:p w14:paraId="28F8B8B8"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credit rating of the Supplier, any Guarantor or any Key Subcontractor drops below Credit Rating Threshold of the relevant Rating Agency;</w:t>
            </w:r>
          </w:p>
          <w:p w14:paraId="68D32E47"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issues a profits warning to a stock exchange or makes any other public announcement, in each case about a material deterioration in its financial position or prospects;</w:t>
            </w:r>
          </w:p>
          <w:p w14:paraId="08A345EB"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lastRenderedPageBreak/>
              <w:t>there being a public investigation into improper financial accounting and reporting, suspected fraud or any other impropriety of the Supplier, any Guarantor or any Key Subcontractor;</w:t>
            </w:r>
          </w:p>
          <w:p w14:paraId="7ABDFFF7"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commits a material breach of covenant to its lenders;</w:t>
            </w:r>
          </w:p>
          <w:p w14:paraId="66119E64"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 Key Subcontractor notifies the Relevant Authority that the Supplier has not paid any material sums properly due under a specified invoice and not subject to a genuine dispute; or</w:t>
            </w:r>
          </w:p>
          <w:p w14:paraId="4CF63F50"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any of the following in respect of the Supplier, any Guarantor or any Key Subcontractor: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commencement of any litigation with respect to financial indebtedness greater than £5m or obligations under a service contract with a total contract value greater than £5m; ii) non-payment of any financial indebtedness; iii) any financial indebtedness becoming due as a result of an event of default; iv) the cancellation or suspension of any financial indebtedness or v) an external auditor expressing a qualified opinion on, or including an emphasis of matter in, its opinion on the statutory accounts of that entity, in each case which the Relevant Authority reasonably believes (or would be likely reasonably to believe) could directly impact on the continued provision of the Deliverables in accordance with the Contract;</w:t>
            </w:r>
          </w:p>
        </w:tc>
      </w:tr>
      <w:tr w:rsidR="00D90956" w14:paraId="36DB9720" w14:textId="77777777">
        <w:tc>
          <w:tcPr>
            <w:tcW w:w="2694" w:type="dxa"/>
          </w:tcPr>
          <w:p w14:paraId="6037E90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“Financial Reports”</w:t>
            </w:r>
          </w:p>
        </w:tc>
        <w:tc>
          <w:tcPr>
            <w:tcW w:w="7371" w:type="dxa"/>
          </w:tcPr>
          <w:p w14:paraId="5BF428F4"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14:paraId="40D4104D"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14:paraId="228236E3"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expenses to be incurred by Key </w:t>
            </w:r>
            <w:r>
              <w:rPr>
                <w:rFonts w:ascii="Arial" w:eastAsia="Arial" w:hAnsi="Arial" w:cs="Arial"/>
                <w:sz w:val="24"/>
                <w:szCs w:val="24"/>
              </w:rPr>
              <w:t>S</w:t>
            </w:r>
            <w:r>
              <w:rPr>
                <w:rFonts w:ascii="Arial" w:eastAsia="Arial" w:hAnsi="Arial" w:cs="Arial"/>
                <w:color w:val="000000"/>
                <w:sz w:val="24"/>
                <w:szCs w:val="24"/>
              </w:rPr>
              <w:t>ubcontractors (as requested by the Buyer);</w:t>
            </w:r>
          </w:p>
          <w:p w14:paraId="78805EEE"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14:paraId="6FC6C0B3"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D90956" w14:paraId="2AE4E830" w14:textId="77777777">
        <w:tc>
          <w:tcPr>
            <w:tcW w:w="2694" w:type="dxa"/>
          </w:tcPr>
          <w:p w14:paraId="214189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Representative”</w:t>
            </w:r>
          </w:p>
        </w:tc>
        <w:tc>
          <w:tcPr>
            <w:tcW w:w="7371" w:type="dxa"/>
          </w:tcPr>
          <w:p w14:paraId="6A431762"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a reasonably skilled and experienced member of the Supplier Staff who has specific responsibility for preparing, maintaining, facilitating access to, discussing and explaining the records and </w:t>
            </w:r>
            <w:r>
              <w:rPr>
                <w:rFonts w:ascii="Arial" w:eastAsia="Arial" w:hAnsi="Arial" w:cs="Arial"/>
                <w:color w:val="000000"/>
                <w:sz w:val="24"/>
                <w:szCs w:val="24"/>
              </w:rPr>
              <w:lastRenderedPageBreak/>
              <w:t>accounts of everything to do with the Contract (as referred to in Clause 6), Financial Reports and Open Book Data;</w:t>
            </w:r>
          </w:p>
        </w:tc>
      </w:tr>
      <w:tr w:rsidR="00D90956" w14:paraId="3928A3F2" w14:textId="77777777">
        <w:tc>
          <w:tcPr>
            <w:tcW w:w="2694" w:type="dxa"/>
            <w:vAlign w:val="center"/>
          </w:tcPr>
          <w:p w14:paraId="2AAC4E42"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“Fixed Fee Pricing Matrix”</w:t>
            </w:r>
          </w:p>
        </w:tc>
        <w:tc>
          <w:tcPr>
            <w:tcW w:w="7371" w:type="dxa"/>
            <w:vAlign w:val="center"/>
          </w:tcPr>
          <w:p w14:paraId="2F430522" w14:textId="77777777" w:rsidR="00D90956" w:rsidRDefault="00185F51">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sz w:val="24"/>
                <w:szCs w:val="24"/>
              </w:rPr>
              <w:t>the spreadsheet setting out details of the Fixed Fee prices which is set out in the Order Form and will be provided by the Buyer at Further Competition</w:t>
            </w:r>
          </w:p>
        </w:tc>
      </w:tr>
      <w:tr w:rsidR="00D90956" w14:paraId="38A6D0AC" w14:textId="77777777">
        <w:tc>
          <w:tcPr>
            <w:tcW w:w="2694" w:type="dxa"/>
            <w:vAlign w:val="center"/>
          </w:tcPr>
          <w:p w14:paraId="6726566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"Fixed Fee TUPE Risk Premium"</w:t>
            </w:r>
          </w:p>
        </w:tc>
        <w:tc>
          <w:tcPr>
            <w:tcW w:w="7371" w:type="dxa"/>
            <w:vAlign w:val="center"/>
          </w:tcPr>
          <w:p w14:paraId="44CD7EF1" w14:textId="57833AF9" w:rsidR="00D90956" w:rsidRDefault="00185F51">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 xml:space="preserve">the amount </w:t>
            </w:r>
            <w:r w:rsidR="0025339C">
              <w:rPr>
                <w:rFonts w:ascii="Arial" w:eastAsia="Arial" w:hAnsi="Arial" w:cs="Arial"/>
                <w:color w:val="000000"/>
                <w:sz w:val="24"/>
                <w:szCs w:val="24"/>
              </w:rPr>
              <w:t>payable on</w:t>
            </w:r>
            <w:r>
              <w:rPr>
                <w:rFonts w:ascii="Arial" w:eastAsia="Arial" w:hAnsi="Arial" w:cs="Arial"/>
                <w:color w:val="000000"/>
                <w:sz w:val="24"/>
                <w:szCs w:val="24"/>
              </w:rPr>
              <w:t xml:space="preserve"> an annual basis based on the difference between:</w:t>
            </w:r>
          </w:p>
          <w:p w14:paraId="1A8BAF02" w14:textId="4BEF46B6" w:rsidR="00D90956" w:rsidRDefault="00185F51">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 xml:space="preserve">the costs to employ Transferring Former Supplier Employees </w:t>
            </w:r>
            <w:r w:rsidR="0025339C">
              <w:rPr>
                <w:rFonts w:ascii="Arial" w:eastAsia="Arial" w:hAnsi="Arial" w:cs="Arial"/>
                <w:color w:val="000000"/>
                <w:sz w:val="24"/>
                <w:szCs w:val="24"/>
              </w:rPr>
              <w:t>or where</w:t>
            </w:r>
            <w:r>
              <w:rPr>
                <w:rFonts w:ascii="Arial" w:eastAsia="Arial" w:hAnsi="Arial" w:cs="Arial"/>
                <w:color w:val="000000"/>
                <w:sz w:val="24"/>
                <w:szCs w:val="24"/>
              </w:rPr>
              <w:t xml:space="preserve"> the Former Supplier becomes the Supplier those Former Supplier employees providing the Services at the Commencement Date and/or Transferring Buyer Employees (as the case may be); and</w:t>
            </w:r>
          </w:p>
          <w:p w14:paraId="7BC58FD4" w14:textId="77777777" w:rsidR="00D90956" w:rsidRDefault="00185F51">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equivalent costs to employ staff used by the Supplier at Further Competition,</w:t>
            </w:r>
            <w:r>
              <w:rPr>
                <w:rFonts w:ascii="Arial" w:eastAsia="Arial" w:hAnsi="Arial" w:cs="Arial"/>
                <w:sz w:val="24"/>
                <w:szCs w:val="24"/>
              </w:rPr>
              <w:t xml:space="preserve"> </w:t>
            </w:r>
            <w:r>
              <w:rPr>
                <w:rFonts w:ascii="Arial" w:eastAsia="Arial" w:hAnsi="Arial" w:cs="Arial"/>
                <w:color w:val="000000"/>
                <w:sz w:val="24"/>
                <w:szCs w:val="24"/>
              </w:rPr>
              <w:t xml:space="preserve">in respect of payments due under contracts of employment in respect of the following: </w:t>
            </w:r>
          </w:p>
          <w:p w14:paraId="652BA961"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annual salary;</w:t>
            </w:r>
          </w:p>
          <w:p w14:paraId="570DE7B2"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14:paraId="4B7E825D"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14:paraId="4F5BF670"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t>annual life insurance cost;</w:t>
            </w:r>
          </w:p>
          <w:p w14:paraId="1609F990"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w:t>
            </w:r>
            <w:r>
              <w:rPr>
                <w:rFonts w:ascii="Arial" w:eastAsia="Arial" w:hAnsi="Arial" w:cs="Arial"/>
                <w:color w:val="000000"/>
                <w:sz w:val="24"/>
                <w:szCs w:val="24"/>
              </w:rPr>
              <w:tab/>
              <w:t>annual sick pay entitlement;</w:t>
            </w:r>
          </w:p>
          <w:p w14:paraId="17B7B8BF"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w:t>
            </w:r>
            <w:r>
              <w:rPr>
                <w:rFonts w:ascii="Arial" w:eastAsia="Arial" w:hAnsi="Arial" w:cs="Arial"/>
                <w:color w:val="000000"/>
                <w:sz w:val="24"/>
                <w:szCs w:val="24"/>
              </w:rPr>
              <w:tab/>
              <w:t>maternity/paternity costs; and</w:t>
            </w:r>
          </w:p>
          <w:p w14:paraId="7E372A09"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t>any other cost arising directly from the contract of employment of the Transferring Former Supplier Employee and or Transferring Buyer Employee, as set out in paragraph 2 of Call Off Schedule 28 (TUPE Surcharge);</w:t>
            </w:r>
          </w:p>
          <w:p w14:paraId="25549362" w14:textId="77777777" w:rsidR="00D90956" w:rsidRDefault="00D90956">
            <w:pPr>
              <w:pBdr>
                <w:top w:val="nil"/>
                <w:left w:val="nil"/>
                <w:bottom w:val="nil"/>
                <w:right w:val="nil"/>
                <w:between w:val="nil"/>
              </w:pBdr>
              <w:tabs>
                <w:tab w:val="left" w:pos="-179"/>
                <w:tab w:val="left" w:pos="284"/>
              </w:tabs>
              <w:spacing w:after="120"/>
              <w:ind w:right="141"/>
              <w:jc w:val="both"/>
              <w:rPr>
                <w:rFonts w:ascii="Arial" w:eastAsia="Arial" w:hAnsi="Arial" w:cs="Arial"/>
                <w:color w:val="000000"/>
                <w:sz w:val="24"/>
                <w:szCs w:val="24"/>
              </w:rPr>
            </w:pPr>
          </w:p>
        </w:tc>
      </w:tr>
      <w:tr w:rsidR="00D90956" w14:paraId="60065FE8" w14:textId="77777777">
        <w:tc>
          <w:tcPr>
            <w:tcW w:w="2694" w:type="dxa"/>
          </w:tcPr>
          <w:p w14:paraId="72A027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“Flexible Working”</w:t>
            </w:r>
          </w:p>
        </w:tc>
        <w:tc>
          <w:tcPr>
            <w:tcW w:w="7371" w:type="dxa"/>
          </w:tcPr>
          <w:p w14:paraId="051A60F6"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sz w:val="24"/>
                <w:szCs w:val="24"/>
              </w:rPr>
            </w:pPr>
            <w:r>
              <w:rPr>
                <w:rFonts w:ascii="Arial" w:eastAsia="Arial" w:hAnsi="Arial" w:cs="Arial"/>
                <w:sz w:val="24"/>
                <w:szCs w:val="24"/>
              </w:rPr>
              <w:t>also known as flextime or flexitime, refers to non-traditional working arrangements that take into account an individual's personal needs</w:t>
            </w:r>
          </w:p>
        </w:tc>
      </w:tr>
      <w:tr w:rsidR="00D90956" w14:paraId="771F6211" w14:textId="77777777">
        <w:tc>
          <w:tcPr>
            <w:tcW w:w="2694" w:type="dxa"/>
          </w:tcPr>
          <w:p w14:paraId="6F9A3D5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"FOIA"</w:t>
            </w:r>
          </w:p>
        </w:tc>
        <w:tc>
          <w:tcPr>
            <w:tcW w:w="7371" w:type="dxa"/>
          </w:tcPr>
          <w:p w14:paraId="0B31232E"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D90956" w14:paraId="0CDAA6D9" w14:textId="77777777">
        <w:tc>
          <w:tcPr>
            <w:tcW w:w="2694" w:type="dxa"/>
          </w:tcPr>
          <w:p w14:paraId="0A02158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"Force Majeure Event"</w:t>
            </w:r>
          </w:p>
        </w:tc>
        <w:tc>
          <w:tcPr>
            <w:tcW w:w="7371" w:type="dxa"/>
          </w:tcPr>
          <w:p w14:paraId="0D006629"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635BFA60"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5AA119A7"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terrorism;</w:t>
            </w:r>
          </w:p>
          <w:p w14:paraId="71620145"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57D79998"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052C3ADB"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D90956" w14:paraId="7CC2518E" w14:textId="77777777">
        <w:tc>
          <w:tcPr>
            <w:tcW w:w="2694" w:type="dxa"/>
          </w:tcPr>
          <w:p w14:paraId="3B3F8AA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71" w:type="dxa"/>
          </w:tcPr>
          <w:p w14:paraId="0FB70EE0"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D90956" w14:paraId="1DB03875" w14:textId="77777777">
        <w:tc>
          <w:tcPr>
            <w:tcW w:w="2694" w:type="dxa"/>
            <w:vAlign w:val="center"/>
          </w:tcPr>
          <w:p w14:paraId="45BFBEE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"Former Supplier"</w:t>
            </w:r>
          </w:p>
        </w:tc>
        <w:tc>
          <w:tcPr>
            <w:tcW w:w="7371" w:type="dxa"/>
            <w:vAlign w:val="center"/>
          </w:tcPr>
          <w:p w14:paraId="680B89BE"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D90956" w14:paraId="1F15A31F" w14:textId="77777777">
        <w:tc>
          <w:tcPr>
            <w:tcW w:w="2694" w:type="dxa"/>
            <w:vAlign w:val="center"/>
          </w:tcPr>
          <w:p w14:paraId="0C72B2B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“Forward Maintenance Register”</w:t>
            </w:r>
          </w:p>
        </w:tc>
        <w:tc>
          <w:tcPr>
            <w:tcW w:w="7371" w:type="dxa"/>
            <w:vAlign w:val="center"/>
          </w:tcPr>
          <w:p w14:paraId="273E60D5" w14:textId="6FCAA091"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 xml:space="preserve">a schedule of equipment showing its life expectancy, repair and replacement costs based on location, environmental conditions, level of maintenance and operational hours to inform a phased replacement programme. It is sometimes known as a PPM survey and is a register identifying and </w:t>
            </w:r>
            <w:r w:rsidR="0025339C">
              <w:rPr>
                <w:rFonts w:ascii="Arial" w:eastAsia="Arial" w:hAnsi="Arial" w:cs="Arial"/>
                <w:sz w:val="24"/>
                <w:szCs w:val="24"/>
              </w:rPr>
              <w:t>prioritising short</w:t>
            </w:r>
            <w:r>
              <w:rPr>
                <w:rFonts w:ascii="Arial" w:eastAsia="Arial" w:hAnsi="Arial" w:cs="Arial"/>
                <w:sz w:val="24"/>
                <w:szCs w:val="24"/>
              </w:rPr>
              <w:t>, medium and long term maintenance requirements and renewal works activities over the course of the maintenance contract, including any hand back obligations where necessary;</w:t>
            </w:r>
          </w:p>
        </w:tc>
      </w:tr>
      <w:tr w:rsidR="00D90956" w14:paraId="4B7C7004" w14:textId="77777777">
        <w:tc>
          <w:tcPr>
            <w:tcW w:w="2694" w:type="dxa"/>
          </w:tcPr>
          <w:p w14:paraId="1C1FAAA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71" w:type="dxa"/>
          </w:tcPr>
          <w:p w14:paraId="05E208E8"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D90956" w14:paraId="4B00A68A" w14:textId="77777777">
        <w:tc>
          <w:tcPr>
            <w:tcW w:w="2694" w:type="dxa"/>
          </w:tcPr>
          <w:p w14:paraId="7FE22B1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71" w:type="dxa"/>
          </w:tcPr>
          <w:p w14:paraId="229BB878"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D90956" w14:paraId="4BBF8430" w14:textId="77777777">
        <w:tc>
          <w:tcPr>
            <w:tcW w:w="2694" w:type="dxa"/>
          </w:tcPr>
          <w:p w14:paraId="7301D8E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"Framework Contract Period"</w:t>
            </w:r>
          </w:p>
        </w:tc>
        <w:tc>
          <w:tcPr>
            <w:tcW w:w="7371" w:type="dxa"/>
          </w:tcPr>
          <w:p w14:paraId="28EA9E16"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D90956" w14:paraId="62506A14" w14:textId="77777777">
        <w:tc>
          <w:tcPr>
            <w:tcW w:w="2694" w:type="dxa"/>
          </w:tcPr>
          <w:p w14:paraId="0D3F093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71" w:type="dxa"/>
          </w:tcPr>
          <w:p w14:paraId="46526744"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D90956" w14:paraId="0A89304C" w14:textId="77777777">
        <w:tc>
          <w:tcPr>
            <w:tcW w:w="2694" w:type="dxa"/>
          </w:tcPr>
          <w:p w14:paraId="42025A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71" w:type="dxa"/>
          </w:tcPr>
          <w:p w14:paraId="6F682CBD"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D90956" w14:paraId="59460514" w14:textId="77777777">
        <w:tc>
          <w:tcPr>
            <w:tcW w:w="2694" w:type="dxa"/>
            <w:vAlign w:val="center"/>
          </w:tcPr>
          <w:p w14:paraId="4C0E7AC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"Framework Initial Period"</w:t>
            </w:r>
          </w:p>
        </w:tc>
        <w:tc>
          <w:tcPr>
            <w:tcW w:w="7371" w:type="dxa"/>
            <w:vAlign w:val="center"/>
          </w:tcPr>
          <w:p w14:paraId="6289BDDF"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initial term of the Framework Contract as specified in the Framework Award Form;</w:t>
            </w:r>
          </w:p>
        </w:tc>
      </w:tr>
      <w:tr w:rsidR="00D90956" w14:paraId="77744FCA" w14:textId="77777777">
        <w:tc>
          <w:tcPr>
            <w:tcW w:w="2694" w:type="dxa"/>
          </w:tcPr>
          <w:p w14:paraId="6E3DADC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71" w:type="dxa"/>
          </w:tcPr>
          <w:p w14:paraId="4F407925"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D90956" w14:paraId="0D9D225D" w14:textId="77777777">
        <w:tc>
          <w:tcPr>
            <w:tcW w:w="2694" w:type="dxa"/>
          </w:tcPr>
          <w:p w14:paraId="4425DFEF" w14:textId="77777777" w:rsidR="00D90956" w:rsidRDefault="00185F51">
            <w:pPr>
              <w:spacing w:after="120"/>
              <w:rPr>
                <w:rFonts w:ascii="Arial" w:eastAsia="Arial" w:hAnsi="Arial" w:cs="Arial"/>
                <w:b/>
                <w:sz w:val="24"/>
                <w:szCs w:val="24"/>
              </w:rPr>
            </w:pPr>
            <w:r>
              <w:rPr>
                <w:rFonts w:ascii="Arial" w:eastAsia="Arial" w:hAnsi="Arial" w:cs="Arial"/>
                <w:b/>
                <w:sz w:val="24"/>
                <w:szCs w:val="24"/>
              </w:rPr>
              <w:t>“Framework Quarterly Performance Indicator Submission Form”</w:t>
            </w:r>
          </w:p>
        </w:tc>
        <w:tc>
          <w:tcPr>
            <w:tcW w:w="7371" w:type="dxa"/>
          </w:tcPr>
          <w:p w14:paraId="7C0CAEDC" w14:textId="77777777" w:rsidR="00D90956" w:rsidRDefault="00185F51">
            <w:pPr>
              <w:tabs>
                <w:tab w:val="left" w:pos="-179"/>
              </w:tabs>
              <w:spacing w:after="120"/>
              <w:ind w:left="284" w:right="282"/>
              <w:jc w:val="both"/>
              <w:rPr>
                <w:rFonts w:ascii="Arial" w:eastAsia="Arial" w:hAnsi="Arial" w:cs="Arial"/>
                <w:sz w:val="26"/>
                <w:szCs w:val="26"/>
              </w:rPr>
            </w:pPr>
            <w:bookmarkStart w:id="10" w:name="_heading=h.tyjcwt" w:colFirst="0" w:colLast="0"/>
            <w:bookmarkEnd w:id="10"/>
            <w:r>
              <w:rPr>
                <w:rFonts w:ascii="Arial" w:eastAsia="Arial" w:hAnsi="Arial" w:cs="Arial"/>
                <w:color w:val="222222"/>
                <w:highlight w:val="white"/>
              </w:rPr>
              <w:t>i</w:t>
            </w:r>
            <w:r>
              <w:rPr>
                <w:rFonts w:ascii="Arial" w:eastAsia="Arial" w:hAnsi="Arial" w:cs="Arial"/>
                <w:color w:val="222222"/>
                <w:sz w:val="24"/>
                <w:szCs w:val="24"/>
                <w:highlight w:val="white"/>
              </w:rPr>
              <w:t>s the form Suppliers will complete on a quarterly basis reporting on social value activities as set out in Table B in</w:t>
            </w:r>
            <w:r>
              <w:rPr>
                <w:rFonts w:ascii="Arial" w:eastAsia="Arial" w:hAnsi="Arial" w:cs="Arial"/>
                <w:color w:val="FF0000"/>
                <w:sz w:val="24"/>
                <w:szCs w:val="24"/>
                <w:highlight w:val="white"/>
              </w:rPr>
              <w:t> </w:t>
            </w:r>
            <w:r>
              <w:rPr>
                <w:rFonts w:ascii="Arial" w:eastAsia="Arial" w:hAnsi="Arial" w:cs="Arial"/>
                <w:color w:val="000000"/>
                <w:sz w:val="24"/>
                <w:szCs w:val="24"/>
                <w:highlight w:val="white"/>
              </w:rPr>
              <w:t>Joint Schedule 5 Corporate and Social Responsibility </w:t>
            </w:r>
          </w:p>
        </w:tc>
      </w:tr>
      <w:tr w:rsidR="00D90956" w14:paraId="4167C62C" w14:textId="77777777">
        <w:tc>
          <w:tcPr>
            <w:tcW w:w="2694" w:type="dxa"/>
          </w:tcPr>
          <w:p w14:paraId="603C07C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71" w:type="dxa"/>
          </w:tcPr>
          <w:p w14:paraId="7A0232E7"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D90956" w14:paraId="2F9FA0D3" w14:textId="77777777">
        <w:tc>
          <w:tcPr>
            <w:tcW w:w="2694" w:type="dxa"/>
          </w:tcPr>
          <w:p w14:paraId="452A625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71" w:type="dxa"/>
          </w:tcPr>
          <w:p w14:paraId="060CAEEE"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D90956" w14:paraId="55F4822A" w14:textId="77777777">
        <w:tc>
          <w:tcPr>
            <w:tcW w:w="2694" w:type="dxa"/>
          </w:tcPr>
          <w:p w14:paraId="19E9999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71" w:type="dxa"/>
          </w:tcPr>
          <w:p w14:paraId="31B70982"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D90956" w14:paraId="483C9540" w14:textId="77777777">
        <w:tc>
          <w:tcPr>
            <w:tcW w:w="2694" w:type="dxa"/>
          </w:tcPr>
          <w:p w14:paraId="2032591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71" w:type="dxa"/>
          </w:tcPr>
          <w:p w14:paraId="46911E1A"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F</w:t>
            </w:r>
            <w:r>
              <w:rPr>
                <w:rFonts w:ascii="Arial" w:eastAsia="Arial" w:hAnsi="Arial" w:cs="Arial"/>
                <w:color w:val="000000"/>
                <w:sz w:val="24"/>
                <w:szCs w:val="24"/>
              </w:rPr>
              <w:t xml:space="preserve">urther </w:t>
            </w:r>
            <w:r>
              <w:rPr>
                <w:rFonts w:ascii="Arial" w:eastAsia="Arial" w:hAnsi="Arial" w:cs="Arial"/>
                <w:sz w:val="24"/>
                <w:szCs w:val="24"/>
              </w:rPr>
              <w:t>C</w:t>
            </w:r>
            <w:r>
              <w:rPr>
                <w:rFonts w:ascii="Arial" w:eastAsia="Arial" w:hAnsi="Arial" w:cs="Arial"/>
                <w:color w:val="000000"/>
                <w:sz w:val="24"/>
                <w:szCs w:val="24"/>
              </w:rPr>
              <w:t xml:space="preserve">ompetition </w:t>
            </w:r>
            <w:r>
              <w:rPr>
                <w:rFonts w:ascii="Arial" w:eastAsia="Arial" w:hAnsi="Arial" w:cs="Arial"/>
                <w:sz w:val="24"/>
                <w:szCs w:val="24"/>
              </w:rPr>
              <w:t>P</w:t>
            </w:r>
            <w:r>
              <w:rPr>
                <w:rFonts w:ascii="Arial" w:eastAsia="Arial" w:hAnsi="Arial" w:cs="Arial"/>
                <w:color w:val="000000"/>
                <w:sz w:val="24"/>
                <w:szCs w:val="24"/>
              </w:rPr>
              <w:t>rocedure described in Framework Schedule 7 (Call-Off Award Procedure);</w:t>
            </w:r>
          </w:p>
        </w:tc>
      </w:tr>
      <w:tr w:rsidR="00D90956" w14:paraId="05DD72A3" w14:textId="77777777">
        <w:tc>
          <w:tcPr>
            <w:tcW w:w="2694" w:type="dxa"/>
            <w:vAlign w:val="center"/>
          </w:tcPr>
          <w:p w14:paraId="57368ED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w:t>
            </w:r>
          </w:p>
        </w:tc>
        <w:tc>
          <w:tcPr>
            <w:tcW w:w="7371" w:type="dxa"/>
            <w:vAlign w:val="center"/>
          </w:tcPr>
          <w:p w14:paraId="6313B396"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a competition carried out in accordance with the Further Competition Procedure detailed within Framework Schedule 7(Call Off Award Procedure)</w:t>
            </w:r>
          </w:p>
        </w:tc>
      </w:tr>
      <w:tr w:rsidR="00D90956" w14:paraId="279EDB53" w14:textId="77777777">
        <w:tc>
          <w:tcPr>
            <w:tcW w:w="2694" w:type="dxa"/>
            <w:vAlign w:val="center"/>
          </w:tcPr>
          <w:p w14:paraId="1B83955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Award Criteria”</w:t>
            </w:r>
          </w:p>
        </w:tc>
        <w:tc>
          <w:tcPr>
            <w:tcW w:w="7371" w:type="dxa"/>
            <w:vAlign w:val="center"/>
          </w:tcPr>
          <w:p w14:paraId="2204A79C"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the criteria as defined in Annex B of Framework Schedule 7 (Call Off Award Procedure)</w:t>
            </w:r>
          </w:p>
        </w:tc>
      </w:tr>
      <w:tr w:rsidR="00D90956" w14:paraId="07B91803" w14:textId="77777777">
        <w:tc>
          <w:tcPr>
            <w:tcW w:w="2694" w:type="dxa"/>
            <w:vAlign w:val="center"/>
          </w:tcPr>
          <w:p w14:paraId="1450B5D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Mobilisation Cost”</w:t>
            </w:r>
          </w:p>
        </w:tc>
        <w:tc>
          <w:tcPr>
            <w:tcW w:w="7371" w:type="dxa"/>
            <w:vAlign w:val="center"/>
          </w:tcPr>
          <w:p w14:paraId="775D3699" w14:textId="77777777" w:rsidR="00D90956" w:rsidRDefault="00185F51">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Further Competition Mobilisation Cost is priced, competed and evaluated at Further Competition</w:t>
            </w:r>
          </w:p>
          <w:p w14:paraId="4E047395"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There is a Buyer option to select the payment term – milestone payments, single payment on completion of mobilisation, payment during first 12 months of contract, or payment </w:t>
            </w:r>
            <w:r>
              <w:rPr>
                <w:rFonts w:ascii="Arial" w:eastAsia="Arial" w:hAnsi="Arial" w:cs="Arial"/>
                <w:sz w:val="24"/>
                <w:szCs w:val="24"/>
              </w:rPr>
              <w:t>through the entire</w:t>
            </w:r>
            <w:r>
              <w:rPr>
                <w:rFonts w:ascii="Arial" w:eastAsia="Arial" w:hAnsi="Arial" w:cs="Arial"/>
                <w:color w:val="000000"/>
                <w:sz w:val="24"/>
                <w:szCs w:val="24"/>
              </w:rPr>
              <w:t xml:space="preserve"> contract including an amortisation percentage uplift. </w:t>
            </w:r>
          </w:p>
          <w:p w14:paraId="1BD2F977"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standard Mobilisation term is 6 months but is defined at Further Competition stage.</w:t>
            </w:r>
          </w:p>
        </w:tc>
      </w:tr>
      <w:tr w:rsidR="00D90956" w14:paraId="3D1CA5C9" w14:textId="77777777">
        <w:tc>
          <w:tcPr>
            <w:tcW w:w="2694" w:type="dxa"/>
            <w:vAlign w:val="center"/>
          </w:tcPr>
          <w:p w14:paraId="62DACD0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TUPE Risk Premium</w:t>
            </w:r>
            <w:r>
              <w:rPr>
                <w:rFonts w:ascii="Arial" w:eastAsia="Arial" w:hAnsi="Arial" w:cs="Arial"/>
                <w:sz w:val="24"/>
                <w:szCs w:val="24"/>
              </w:rPr>
              <w:t>"</w:t>
            </w:r>
          </w:p>
        </w:tc>
        <w:tc>
          <w:tcPr>
            <w:tcW w:w="7371" w:type="dxa"/>
            <w:vAlign w:val="center"/>
          </w:tcPr>
          <w:p w14:paraId="7EF8909B" w14:textId="77777777" w:rsidR="00D90956" w:rsidRDefault="00185F51">
            <w:pPr>
              <w:tabs>
                <w:tab w:val="left" w:pos="175"/>
                <w:tab w:val="left" w:pos="-179"/>
                <w:tab w:val="left" w:pos="-9"/>
              </w:tabs>
              <w:spacing w:after="120"/>
              <w:rPr>
                <w:rFonts w:ascii="Arial" w:eastAsia="Arial" w:hAnsi="Arial" w:cs="Arial"/>
                <w:sz w:val="24"/>
                <w:szCs w:val="24"/>
              </w:rPr>
            </w:pPr>
            <w:r>
              <w:rPr>
                <w:rFonts w:ascii="Arial" w:eastAsia="Arial" w:hAnsi="Arial" w:cs="Arial"/>
                <w:sz w:val="24"/>
                <w:szCs w:val="24"/>
              </w:rPr>
              <w:t xml:space="preserve">means the amount by which, on an annual basis the costs to employ Transferring Former Supplier Employees and, where the Former </w:t>
            </w:r>
            <w:r>
              <w:rPr>
                <w:rFonts w:ascii="Arial" w:eastAsia="Arial" w:hAnsi="Arial" w:cs="Arial"/>
                <w:sz w:val="24"/>
                <w:szCs w:val="24"/>
              </w:rPr>
              <w:lastRenderedPageBreak/>
              <w:t>Supplier becomes the Supplier, those Former Supplier employees providing the Services at the Start Date, exceed the equivalent costs to employ staff used by the Supplier at Further Competition,</w:t>
            </w:r>
          </w:p>
          <w:p w14:paraId="20D08F4F" w14:textId="77777777" w:rsidR="00D90956" w:rsidRDefault="00185F51">
            <w:pPr>
              <w:tabs>
                <w:tab w:val="left" w:pos="175"/>
                <w:tab w:val="left" w:pos="-179"/>
                <w:tab w:val="left" w:pos="-9"/>
              </w:tabs>
              <w:spacing w:after="120"/>
              <w:rPr>
                <w:rFonts w:ascii="Arial" w:eastAsia="Arial" w:hAnsi="Arial" w:cs="Arial"/>
                <w:sz w:val="24"/>
                <w:szCs w:val="24"/>
              </w:rPr>
            </w:pPr>
            <w:r>
              <w:rPr>
                <w:rFonts w:ascii="Arial" w:eastAsia="Arial" w:hAnsi="Arial" w:cs="Arial"/>
                <w:sz w:val="24"/>
                <w:szCs w:val="24"/>
              </w:rPr>
              <w:t xml:space="preserve">in respect of the following payments due under the employees' contracts of employment: </w:t>
            </w:r>
          </w:p>
          <w:p w14:paraId="7C168D0E" w14:textId="77777777" w:rsidR="00D90956" w:rsidRDefault="00185F51">
            <w:pPr>
              <w:tabs>
                <w:tab w:val="left" w:pos="136"/>
                <w:tab w:val="left" w:pos="175"/>
                <w:tab w:val="left" w:pos="-179"/>
                <w:tab w:val="left" w:pos="-9"/>
                <w:tab w:val="left" w:pos="320"/>
                <w:tab w:val="left" w:pos="496"/>
                <w:tab w:val="left" w:pos="676"/>
              </w:tabs>
              <w:spacing w:after="120"/>
              <w:rPr>
                <w:rFonts w:ascii="Arial" w:eastAsia="Arial" w:hAnsi="Arial" w:cs="Arial"/>
                <w:sz w:val="24"/>
                <w:szCs w:val="24"/>
              </w:rPr>
            </w:pPr>
            <w:proofErr w:type="spellStart"/>
            <w:r>
              <w:rPr>
                <w:rFonts w:ascii="Arial" w:eastAsia="Arial" w:hAnsi="Arial" w:cs="Arial"/>
                <w:sz w:val="24"/>
                <w:szCs w:val="24"/>
              </w:rPr>
              <w:t>i</w:t>
            </w:r>
            <w:proofErr w:type="spellEnd"/>
            <w:r>
              <w:rPr>
                <w:rFonts w:ascii="Arial" w:eastAsia="Arial" w:hAnsi="Arial" w:cs="Arial"/>
                <w:sz w:val="24"/>
                <w:szCs w:val="24"/>
              </w:rPr>
              <w:t>)  annual salary;</w:t>
            </w:r>
          </w:p>
          <w:p w14:paraId="082E5D9B"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ii) employer pension contributions;</w:t>
            </w:r>
          </w:p>
          <w:p w14:paraId="75C9BF2C"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iii) annual life insurance cost;</w:t>
            </w:r>
          </w:p>
          <w:p w14:paraId="57B80035"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iv) annual sick pay entitlement;</w:t>
            </w:r>
          </w:p>
          <w:p w14:paraId="48ECC998"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v) maternity/paternity costs</w:t>
            </w:r>
          </w:p>
          <w:p w14:paraId="3EFEABFA" w14:textId="77777777" w:rsidR="00D90956" w:rsidRDefault="00185F51">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vi) allowances, shift premia, contractual bonuses; and</w:t>
            </w:r>
          </w:p>
          <w:p w14:paraId="0449AF04" w14:textId="032FFFE4" w:rsidR="00D90956" w:rsidRDefault="00185F51" w:rsidP="0025339C">
            <w:pPr>
              <w:tabs>
                <w:tab w:val="left" w:pos="175"/>
                <w:tab w:val="left" w:pos="-179"/>
                <w:tab w:val="left" w:pos="-9"/>
                <w:tab w:val="left" w:pos="320"/>
              </w:tabs>
              <w:spacing w:after="120"/>
              <w:rPr>
                <w:rFonts w:ascii="Arial" w:eastAsia="Arial" w:hAnsi="Arial" w:cs="Arial"/>
                <w:sz w:val="24"/>
                <w:szCs w:val="24"/>
              </w:rPr>
            </w:pPr>
            <w:r>
              <w:rPr>
                <w:rFonts w:ascii="Arial" w:eastAsia="Arial" w:hAnsi="Arial" w:cs="Arial"/>
                <w:sz w:val="24"/>
                <w:szCs w:val="24"/>
              </w:rPr>
              <w:t xml:space="preserve">vii) other contractual benefits or costs arising directly from the contract of employment of the Transferring Former Supplier Employee </w:t>
            </w:r>
          </w:p>
          <w:p w14:paraId="1D43623E" w14:textId="47FA8C05" w:rsidR="00D90956" w:rsidRDefault="0049687C" w:rsidP="0049687C">
            <w:pPr>
              <w:pBdr>
                <w:top w:val="nil"/>
                <w:left w:val="nil"/>
                <w:bottom w:val="nil"/>
                <w:right w:val="nil"/>
                <w:between w:val="nil"/>
              </w:pBdr>
              <w:tabs>
                <w:tab w:val="left" w:pos="175"/>
                <w:tab w:val="left" w:pos="-179"/>
                <w:tab w:val="left" w:pos="-9"/>
                <w:tab w:val="left" w:pos="320"/>
              </w:tabs>
              <w:spacing w:after="120"/>
              <w:rPr>
                <w:rFonts w:ascii="Arial" w:eastAsia="Arial" w:hAnsi="Arial" w:cs="Arial"/>
                <w:color w:val="000000"/>
                <w:sz w:val="24"/>
                <w:szCs w:val="24"/>
              </w:rPr>
            </w:pPr>
            <w:r>
              <w:rPr>
                <w:rFonts w:ascii="Arial" w:eastAsia="Arial" w:hAnsi="Arial"/>
                <w:color w:val="000000"/>
                <w:sz w:val="24"/>
                <w:szCs w:val="24"/>
              </w:rPr>
              <w:t xml:space="preserve">viii) annual national insurance cost </w:t>
            </w:r>
          </w:p>
        </w:tc>
      </w:tr>
      <w:tr w:rsidR="00D90956" w14:paraId="0555D8EA" w14:textId="77777777">
        <w:tc>
          <w:tcPr>
            <w:tcW w:w="2694" w:type="dxa"/>
          </w:tcPr>
          <w:p w14:paraId="0F10F1E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"UK GDPR"</w:t>
            </w:r>
          </w:p>
        </w:tc>
        <w:tc>
          <w:tcPr>
            <w:tcW w:w="7371" w:type="dxa"/>
          </w:tcPr>
          <w:p w14:paraId="181C00C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D90956" w14:paraId="2374EF42" w14:textId="77777777">
        <w:tc>
          <w:tcPr>
            <w:tcW w:w="2694" w:type="dxa"/>
          </w:tcPr>
          <w:p w14:paraId="496F329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71" w:type="dxa"/>
          </w:tcPr>
          <w:p w14:paraId="49F4C3CA" w14:textId="77777777" w:rsidR="00D90956" w:rsidRDefault="00185F51">
            <w:pPr>
              <w:numPr>
                <w:ilvl w:val="1"/>
                <w:numId w:val="2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4E07FCAA" w14:textId="77777777" w:rsidR="00D90956" w:rsidRDefault="00185F51">
            <w:pPr>
              <w:numPr>
                <w:ilvl w:val="1"/>
                <w:numId w:val="2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D90956" w14:paraId="7E8D9BF7" w14:textId="77777777">
        <w:tc>
          <w:tcPr>
            <w:tcW w:w="2694" w:type="dxa"/>
          </w:tcPr>
          <w:p w14:paraId="580B873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71" w:type="dxa"/>
          </w:tcPr>
          <w:p w14:paraId="4D4F842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D90956" w14:paraId="2A570E78" w14:textId="77777777">
        <w:tc>
          <w:tcPr>
            <w:tcW w:w="2694" w:type="dxa"/>
          </w:tcPr>
          <w:p w14:paraId="19A53DB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“General Ledger”</w:t>
            </w:r>
          </w:p>
        </w:tc>
        <w:tc>
          <w:tcPr>
            <w:tcW w:w="7371" w:type="dxa"/>
          </w:tcPr>
          <w:p w14:paraId="733DF11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main accounting record of a company or organization</w:t>
            </w:r>
          </w:p>
        </w:tc>
      </w:tr>
      <w:tr w:rsidR="00D90956" w14:paraId="012D865C" w14:textId="77777777">
        <w:tc>
          <w:tcPr>
            <w:tcW w:w="2694" w:type="dxa"/>
            <w:vAlign w:val="center"/>
          </w:tcPr>
          <w:p w14:paraId="68D2E908"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“Geographical Boundary</w:t>
            </w:r>
            <w:r>
              <w:rPr>
                <w:rFonts w:ascii="Arial" w:eastAsia="Arial" w:hAnsi="Arial" w:cs="Arial"/>
                <w:sz w:val="24"/>
                <w:szCs w:val="24"/>
              </w:rPr>
              <w:t>”</w:t>
            </w:r>
          </w:p>
        </w:tc>
        <w:tc>
          <w:tcPr>
            <w:tcW w:w="7371" w:type="dxa"/>
            <w:vAlign w:val="center"/>
          </w:tcPr>
          <w:p w14:paraId="7E42D72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highlight w:val="white"/>
              </w:rPr>
            </w:pPr>
            <w:r>
              <w:rPr>
                <w:rFonts w:ascii="Arial" w:eastAsia="Arial" w:hAnsi="Arial" w:cs="Arial"/>
                <w:sz w:val="24"/>
                <w:szCs w:val="24"/>
                <w:highlight w:val="white"/>
              </w:rPr>
              <w:t>means the geographical boundary coverage areas provided as part of the Framework Tender Response (as amended by paragraph 9 of Framework Schedule 4 (Framework Management)), using the relevant boundary codes as stated on </w:t>
            </w:r>
            <w:hyperlink r:id="rId8">
              <w:r>
                <w:rPr>
                  <w:rFonts w:ascii="Arial" w:eastAsia="Arial" w:hAnsi="Arial" w:cs="Arial"/>
                  <w:color w:val="000000"/>
                  <w:sz w:val="24"/>
                  <w:szCs w:val="24"/>
                  <w:highlight w:val="white"/>
                  <w:u w:val="single"/>
                </w:rPr>
                <w:t>https://www.ons.gov.uk/methodology/geography/ukgeographies/eurostat</w:t>
              </w:r>
            </w:hyperlink>
          </w:p>
          <w:p w14:paraId="65441D8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noProof/>
                <w:sz w:val="24"/>
                <w:szCs w:val="24"/>
              </w:rPr>
              <w:drawing>
                <wp:inline distT="0" distB="0" distL="114300" distR="114300" wp14:anchorId="66BC7875" wp14:editId="67661B29">
                  <wp:extent cx="958850" cy="6223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958850" cy="622300"/>
                          </a:xfrm>
                          <a:prstGeom prst="rect">
                            <a:avLst/>
                          </a:prstGeom>
                          <a:ln/>
                        </pic:spPr>
                      </pic:pic>
                    </a:graphicData>
                  </a:graphic>
                </wp:inline>
              </w:drawing>
            </w:r>
          </w:p>
        </w:tc>
      </w:tr>
      <w:tr w:rsidR="00D90956" w14:paraId="2D158CD0" w14:textId="77777777">
        <w:tc>
          <w:tcPr>
            <w:tcW w:w="2694" w:type="dxa"/>
          </w:tcPr>
          <w:p w14:paraId="4A88216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“Global Design Principles”</w:t>
            </w:r>
          </w:p>
        </w:tc>
        <w:tc>
          <w:tcPr>
            <w:tcW w:w="7371" w:type="dxa"/>
          </w:tcPr>
          <w:p w14:paraId="63757BA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 set of common processes and procedures, which are used by core government departments and their arms' length bodies, (ALBs), to ensure consistency across government and facilitate greater sharing of expertise;</w:t>
            </w:r>
          </w:p>
        </w:tc>
      </w:tr>
      <w:tr w:rsidR="00D90956" w14:paraId="792151D6" w14:textId="77777777">
        <w:tc>
          <w:tcPr>
            <w:tcW w:w="2694" w:type="dxa"/>
          </w:tcPr>
          <w:p w14:paraId="2EC7C48E"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371" w:type="dxa"/>
          </w:tcPr>
          <w:p w14:paraId="40CC4FE1" w14:textId="77777777" w:rsidR="00D90956" w:rsidRDefault="00185F51">
            <w:pPr>
              <w:tabs>
                <w:tab w:val="left" w:pos="284"/>
              </w:tabs>
              <w:spacing w:after="120"/>
              <w:ind w:left="284" w:right="282"/>
              <w:rPr>
                <w:rFonts w:ascii="Arial" w:eastAsia="Arial" w:hAnsi="Arial" w:cs="Arial"/>
                <w:sz w:val="24"/>
                <w:szCs w:val="24"/>
              </w:rPr>
            </w:pPr>
            <w:r>
              <w:rPr>
                <w:rFonts w:ascii="Arial" w:eastAsia="Arial" w:hAnsi="Arial" w:cs="Arial"/>
                <w:sz w:val="24"/>
                <w:szCs w:val="24"/>
              </w:rPr>
              <w:t>A Call-Off Contract categorised as a Gold contract using the Cabinet Office Contract Tiering Tool.</w:t>
            </w:r>
          </w:p>
        </w:tc>
      </w:tr>
      <w:tr w:rsidR="00D90956" w14:paraId="6F298640" w14:textId="77777777">
        <w:tc>
          <w:tcPr>
            <w:tcW w:w="2694" w:type="dxa"/>
          </w:tcPr>
          <w:p w14:paraId="0E4D7C8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"Goods"</w:t>
            </w:r>
          </w:p>
        </w:tc>
        <w:tc>
          <w:tcPr>
            <w:tcW w:w="7371" w:type="dxa"/>
          </w:tcPr>
          <w:p w14:paraId="4DAFDFC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D90956" w14:paraId="38AB8D47" w14:textId="77777777">
        <w:tc>
          <w:tcPr>
            <w:tcW w:w="2694" w:type="dxa"/>
          </w:tcPr>
          <w:p w14:paraId="271029B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71" w:type="dxa"/>
          </w:tcPr>
          <w:p w14:paraId="321DB4B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D90956" w14:paraId="06199563" w14:textId="77777777">
        <w:tc>
          <w:tcPr>
            <w:tcW w:w="2694" w:type="dxa"/>
          </w:tcPr>
          <w:p w14:paraId="2857B5B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w:t>
            </w:r>
          </w:p>
        </w:tc>
        <w:tc>
          <w:tcPr>
            <w:tcW w:w="7371" w:type="dxa"/>
          </w:tcPr>
          <w:p w14:paraId="47E3B81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D90956" w14:paraId="7FFFDE1A" w14:textId="77777777">
        <w:tc>
          <w:tcPr>
            <w:tcW w:w="2694" w:type="dxa"/>
            <w:vAlign w:val="center"/>
          </w:tcPr>
          <w:p w14:paraId="1E849A5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“Government Buying Standards”</w:t>
            </w:r>
          </w:p>
        </w:tc>
        <w:tc>
          <w:tcPr>
            <w:tcW w:w="7371" w:type="dxa"/>
            <w:vAlign w:val="center"/>
          </w:tcPr>
          <w:p w14:paraId="60217E87" w14:textId="77777777" w:rsidR="00D90956" w:rsidRDefault="00185F51">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product specifications in line with the European Commission’s Green Public Procurement initiative. The current Government Buying Standards are owned by DEFRA;</w:t>
            </w:r>
          </w:p>
        </w:tc>
      </w:tr>
      <w:tr w:rsidR="00D90956" w14:paraId="160D1D6A" w14:textId="77777777">
        <w:tc>
          <w:tcPr>
            <w:tcW w:w="2694" w:type="dxa"/>
          </w:tcPr>
          <w:p w14:paraId="15F87C3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71" w:type="dxa"/>
          </w:tcPr>
          <w:p w14:paraId="78C20BB0" w14:textId="77777777" w:rsidR="00D90956" w:rsidRDefault="00185F51">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47476A9B" w14:textId="77777777" w:rsidR="00D90956" w:rsidRDefault="00185F51">
            <w:pPr>
              <w:numPr>
                <w:ilvl w:val="2"/>
                <w:numId w:val="28"/>
              </w:numPr>
              <w:pBdr>
                <w:top w:val="nil"/>
                <w:left w:val="nil"/>
                <w:bottom w:val="nil"/>
                <w:right w:val="nil"/>
                <w:between w:val="nil"/>
              </w:pBdr>
              <w:tabs>
                <w:tab w:val="left" w:pos="-576"/>
                <w:tab w:val="left" w:pos="42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19D185F7" w14:textId="77777777" w:rsidR="00D90956" w:rsidRDefault="00185F51">
            <w:pPr>
              <w:numPr>
                <w:ilvl w:val="2"/>
                <w:numId w:val="28"/>
              </w:numPr>
              <w:pBdr>
                <w:top w:val="nil"/>
                <w:left w:val="nil"/>
                <w:bottom w:val="nil"/>
                <w:right w:val="nil"/>
                <w:between w:val="nil"/>
              </w:pBdr>
              <w:tabs>
                <w:tab w:val="left" w:pos="-576"/>
                <w:tab w:val="left" w:pos="27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D90956" w14:paraId="57E37604" w14:textId="77777777">
        <w:tc>
          <w:tcPr>
            <w:tcW w:w="2694" w:type="dxa"/>
            <w:vAlign w:val="center"/>
          </w:tcPr>
          <w:p w14:paraId="102E2654"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“Greening Government Commitments”</w:t>
            </w:r>
          </w:p>
        </w:tc>
        <w:tc>
          <w:tcPr>
            <w:tcW w:w="7371" w:type="dxa"/>
            <w:vAlign w:val="center"/>
          </w:tcPr>
          <w:p w14:paraId="55812E8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UK policy commitments to greening operations and procurement set by the Department for the Environment, Food and Rural Affairs (DEFRA)</w:t>
            </w:r>
          </w:p>
        </w:tc>
      </w:tr>
      <w:tr w:rsidR="00D90956" w14:paraId="793D5121" w14:textId="77777777">
        <w:tc>
          <w:tcPr>
            <w:tcW w:w="2694" w:type="dxa"/>
          </w:tcPr>
          <w:p w14:paraId="4C336A65"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7371" w:type="dxa"/>
          </w:tcPr>
          <w:p w14:paraId="6B85709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D90956" w14:paraId="225FB8F8" w14:textId="77777777">
        <w:tc>
          <w:tcPr>
            <w:tcW w:w="2694" w:type="dxa"/>
          </w:tcPr>
          <w:p w14:paraId="405E5DF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71" w:type="dxa"/>
          </w:tcPr>
          <w:p w14:paraId="7F48AE9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D90956" w14:paraId="43B98E04" w14:textId="77777777">
        <w:tc>
          <w:tcPr>
            <w:tcW w:w="2694" w:type="dxa"/>
          </w:tcPr>
          <w:p w14:paraId="4D47C65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“Historic Volumes”</w:t>
            </w:r>
          </w:p>
        </w:tc>
        <w:tc>
          <w:tcPr>
            <w:tcW w:w="7371" w:type="dxa"/>
          </w:tcPr>
          <w:p w14:paraId="559156BE"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the level of activity that has previously been delivered</w:t>
            </w:r>
          </w:p>
        </w:tc>
      </w:tr>
      <w:tr w:rsidR="00D90956" w14:paraId="66CCD036" w14:textId="77777777">
        <w:tc>
          <w:tcPr>
            <w:tcW w:w="2694" w:type="dxa"/>
          </w:tcPr>
          <w:p w14:paraId="408A04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“HM Government”</w:t>
            </w:r>
          </w:p>
        </w:tc>
        <w:tc>
          <w:tcPr>
            <w:tcW w:w="7371" w:type="dxa"/>
          </w:tcPr>
          <w:p w14:paraId="09E9BB8D"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Her Majesty's Government;</w:t>
            </w:r>
          </w:p>
        </w:tc>
      </w:tr>
      <w:tr w:rsidR="00D90956" w14:paraId="286237F6" w14:textId="77777777">
        <w:tc>
          <w:tcPr>
            <w:tcW w:w="2694" w:type="dxa"/>
          </w:tcPr>
          <w:p w14:paraId="5A5C861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"HMRC"</w:t>
            </w:r>
          </w:p>
        </w:tc>
        <w:tc>
          <w:tcPr>
            <w:tcW w:w="7371" w:type="dxa"/>
          </w:tcPr>
          <w:p w14:paraId="2A916F29"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D90956" w14:paraId="2F5BEE86" w14:textId="77777777">
        <w:tc>
          <w:tcPr>
            <w:tcW w:w="2694" w:type="dxa"/>
          </w:tcPr>
          <w:p w14:paraId="5B0997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"ICT Policy"</w:t>
            </w:r>
          </w:p>
        </w:tc>
        <w:tc>
          <w:tcPr>
            <w:tcW w:w="7371" w:type="dxa"/>
          </w:tcPr>
          <w:p w14:paraId="1A043B19" w14:textId="2D0A09E4"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w:t>
            </w:r>
            <w:r w:rsidRPr="007E0C7C">
              <w:rPr>
                <w:rFonts w:ascii="Arial" w:eastAsia="Arial" w:hAnsi="Arial" w:cs="Arial"/>
                <w:color w:val="000000"/>
                <w:sz w:val="24"/>
                <w:szCs w:val="24"/>
              </w:rPr>
              <w:t>Effective Date</w:t>
            </w:r>
            <w:r>
              <w:rPr>
                <w:rFonts w:ascii="Arial" w:eastAsia="Arial" w:hAnsi="Arial" w:cs="Arial"/>
                <w:color w:val="000000"/>
                <w:sz w:val="24"/>
                <w:szCs w:val="24"/>
              </w:rPr>
              <w:t xml:space="preserve"> (a copy of which has been supplied to the Supplier), as updated from time to time in accordance with the Variation Procedure;</w:t>
            </w:r>
          </w:p>
        </w:tc>
      </w:tr>
      <w:tr w:rsidR="00D90956" w14:paraId="096650F7" w14:textId="77777777">
        <w:tc>
          <w:tcPr>
            <w:tcW w:w="2694" w:type="dxa"/>
          </w:tcPr>
          <w:p w14:paraId="74DA463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71" w:type="dxa"/>
          </w:tcPr>
          <w:p w14:paraId="74C5C83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629F8E9F"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1E2F4819"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16EDB4DC"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3840243A"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 timetable for the implementation;</w:t>
            </w:r>
          </w:p>
          <w:p w14:paraId="0FBAA9C7"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together with any proposals for the testing of the Variation; and</w:t>
            </w:r>
          </w:p>
          <w:p w14:paraId="070FEF91"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D90956" w14:paraId="271E1426" w14:textId="77777777">
        <w:tc>
          <w:tcPr>
            <w:tcW w:w="2694" w:type="dxa"/>
          </w:tcPr>
          <w:p w14:paraId="353CCB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“Incumbent Supplier”</w:t>
            </w:r>
          </w:p>
        </w:tc>
        <w:tc>
          <w:tcPr>
            <w:tcW w:w="7371" w:type="dxa"/>
          </w:tcPr>
          <w:p w14:paraId="7859C66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Supplier already engaged by the customer to provide the Services which are to be provided by the Supplier on the commencement of the contract for Services</w:t>
            </w:r>
          </w:p>
        </w:tc>
      </w:tr>
      <w:tr w:rsidR="00D90956" w14:paraId="7962DF88" w14:textId="77777777">
        <w:tc>
          <w:tcPr>
            <w:tcW w:w="2694" w:type="dxa"/>
            <w:vAlign w:val="center"/>
          </w:tcPr>
          <w:p w14:paraId="47F7B37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"Inclusive Repair Threshold"</w:t>
            </w:r>
          </w:p>
        </w:tc>
        <w:tc>
          <w:tcPr>
            <w:tcW w:w="7371" w:type="dxa"/>
            <w:vAlign w:val="center"/>
          </w:tcPr>
          <w:p w14:paraId="04ACEF3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highlight w:val="white"/>
              </w:rPr>
              <w:t xml:space="preserve">means the financial threshold (excluding Overhead and Profit) as specified in the Order Form, under which the costs of individual Reactive Maintenance Works are included in the Baseline Monthly Payment and which it shall apply per event and not, for example, per trade; </w:t>
            </w:r>
          </w:p>
        </w:tc>
      </w:tr>
      <w:tr w:rsidR="00D90956" w14:paraId="2B3817F0" w14:textId="77777777">
        <w:tc>
          <w:tcPr>
            <w:tcW w:w="2694" w:type="dxa"/>
          </w:tcPr>
          <w:p w14:paraId="6126659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"Indemnifier"</w:t>
            </w:r>
          </w:p>
        </w:tc>
        <w:tc>
          <w:tcPr>
            <w:tcW w:w="7371" w:type="dxa"/>
          </w:tcPr>
          <w:p w14:paraId="1913E4A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D90956" w14:paraId="2B030F36" w14:textId="77777777">
        <w:tc>
          <w:tcPr>
            <w:tcW w:w="2694" w:type="dxa"/>
          </w:tcPr>
          <w:p w14:paraId="21FB254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71" w:type="dxa"/>
          </w:tcPr>
          <w:p w14:paraId="3AD225D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D90956" w14:paraId="070755E9" w14:textId="77777777">
        <w:tc>
          <w:tcPr>
            <w:tcW w:w="2694" w:type="dxa"/>
          </w:tcPr>
          <w:p w14:paraId="2F6B5D7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"Indexation"</w:t>
            </w:r>
          </w:p>
        </w:tc>
        <w:tc>
          <w:tcPr>
            <w:tcW w:w="7371" w:type="dxa"/>
          </w:tcPr>
          <w:p w14:paraId="44EE5A34"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D90956" w14:paraId="50ED9305" w14:textId="77777777">
        <w:tc>
          <w:tcPr>
            <w:tcW w:w="2694" w:type="dxa"/>
          </w:tcPr>
          <w:p w14:paraId="3F77770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w:t>
            </w:r>
          </w:p>
        </w:tc>
        <w:tc>
          <w:tcPr>
            <w:tcW w:w="7371" w:type="dxa"/>
          </w:tcPr>
          <w:p w14:paraId="651E27E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D90956" w14:paraId="1B452ED0" w14:textId="77777777">
        <w:tc>
          <w:tcPr>
            <w:tcW w:w="2694" w:type="dxa"/>
          </w:tcPr>
          <w:p w14:paraId="452E194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71" w:type="dxa"/>
          </w:tcPr>
          <w:p w14:paraId="148DB42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D90956" w14:paraId="5709ECC1" w14:textId="77777777">
        <w:tc>
          <w:tcPr>
            <w:tcW w:w="2694" w:type="dxa"/>
          </w:tcPr>
          <w:p w14:paraId="4821919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"Initial Period"</w:t>
            </w:r>
          </w:p>
        </w:tc>
        <w:tc>
          <w:tcPr>
            <w:tcW w:w="7371" w:type="dxa"/>
          </w:tcPr>
          <w:p w14:paraId="4ADB3841"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D90956" w14:paraId="6036BBDA" w14:textId="77777777">
        <w:tc>
          <w:tcPr>
            <w:tcW w:w="2694" w:type="dxa"/>
          </w:tcPr>
          <w:p w14:paraId="32CC8B7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71" w:type="dxa"/>
          </w:tcPr>
          <w:p w14:paraId="6C0F4EE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22524191" w14:textId="77777777" w:rsidR="00D90956" w:rsidRDefault="00185F51">
            <w:pPr>
              <w:pBdr>
                <w:top w:val="nil"/>
                <w:left w:val="nil"/>
                <w:bottom w:val="nil"/>
                <w:right w:val="nil"/>
                <w:between w:val="nil"/>
              </w:pBdr>
              <w:tabs>
                <w:tab w:val="left" w:pos="990"/>
              </w:tabs>
              <w:spacing w:after="120"/>
              <w:ind w:left="992" w:right="282" w:hanging="705"/>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48AA2F1E" w14:textId="77777777" w:rsidR="00D90956" w:rsidRDefault="00185F51">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(being a company or a LLP) is deemed unable to pay its debts within the meaning of section 123 of the Insolvency Act 1986, or</w:t>
            </w:r>
          </w:p>
          <w:p w14:paraId="43DE6AC3" w14:textId="77777777" w:rsidR="00D90956" w:rsidRDefault="00185F51">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46B2A503"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4E714CB0"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6B97EBA7"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3E385F34"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13A91959"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593E1B6F"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3EAF62B1"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6969F352"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20A87485"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(iv)   (being a partnership) the holder of an agricultural floating charge over the assets of that person has become entitled to appoint or has appointed an agricultural receiver; or</w:t>
            </w:r>
          </w:p>
          <w:p w14:paraId="798AE316"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D90956" w14:paraId="6503D198" w14:textId="77777777">
        <w:tc>
          <w:tcPr>
            <w:tcW w:w="2694" w:type="dxa"/>
          </w:tcPr>
          <w:p w14:paraId="2ED1739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71" w:type="dxa"/>
          </w:tcPr>
          <w:p w14:paraId="344C0FB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during the Call-Off Contract Period to install the Goods in accordance with the Call-Off Contract;</w:t>
            </w:r>
          </w:p>
        </w:tc>
      </w:tr>
      <w:tr w:rsidR="00D90956" w14:paraId="070F6BAF" w14:textId="77777777">
        <w:tc>
          <w:tcPr>
            <w:tcW w:w="2694" w:type="dxa"/>
          </w:tcPr>
          <w:p w14:paraId="5E8CA68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71" w:type="dxa"/>
          </w:tcPr>
          <w:p w14:paraId="54DE9CD5" w14:textId="77777777" w:rsidR="00D90956" w:rsidRDefault="00185F51">
            <w:pPr>
              <w:numPr>
                <w:ilvl w:val="1"/>
                <w:numId w:val="1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7B336BE5" w14:textId="77777777" w:rsidR="00D90956" w:rsidRDefault="00185F51">
            <w:pPr>
              <w:numPr>
                <w:ilvl w:val="1"/>
                <w:numId w:val="1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7EBF2C32" w14:textId="77777777" w:rsidR="00D90956" w:rsidRDefault="00185F51">
            <w:pPr>
              <w:numPr>
                <w:ilvl w:val="1"/>
                <w:numId w:val="1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D90956" w14:paraId="3C6711BC" w14:textId="77777777">
        <w:tc>
          <w:tcPr>
            <w:tcW w:w="2694" w:type="dxa"/>
          </w:tcPr>
          <w:p w14:paraId="75A2D33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71" w:type="dxa"/>
          </w:tcPr>
          <w:p w14:paraId="028ED3FC" w14:textId="77777777" w:rsidR="00D90956" w:rsidRDefault="00185F51">
            <w:pPr>
              <w:pBdr>
                <w:top w:val="nil"/>
                <w:left w:val="nil"/>
                <w:bottom w:val="nil"/>
                <w:right w:val="nil"/>
                <w:between w:val="nil"/>
              </w:pBdr>
              <w:tabs>
                <w:tab w:val="left" w:pos="284"/>
              </w:tabs>
              <w:spacing w:after="120"/>
              <w:ind w:left="283" w:right="282"/>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D90956" w14:paraId="012698C4" w14:textId="77777777">
        <w:tc>
          <w:tcPr>
            <w:tcW w:w="2694" w:type="dxa"/>
          </w:tcPr>
          <w:p w14:paraId="5920331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"IPR Claim"</w:t>
            </w:r>
          </w:p>
        </w:tc>
        <w:tc>
          <w:tcPr>
            <w:tcW w:w="7371" w:type="dxa"/>
          </w:tcPr>
          <w:p w14:paraId="4353CE8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D90956" w14:paraId="54FF0F3F" w14:textId="77777777">
        <w:tc>
          <w:tcPr>
            <w:tcW w:w="2694" w:type="dxa"/>
          </w:tcPr>
          <w:p w14:paraId="40BF3F8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"IR35"</w:t>
            </w:r>
          </w:p>
        </w:tc>
        <w:tc>
          <w:tcPr>
            <w:tcW w:w="7371" w:type="dxa"/>
          </w:tcPr>
          <w:p w14:paraId="03F47A2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0">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D90956" w14:paraId="0EA6DE0F" w14:textId="77777777">
        <w:tc>
          <w:tcPr>
            <w:tcW w:w="2694" w:type="dxa"/>
          </w:tcPr>
          <w:p w14:paraId="57F8BF0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“ISO”</w:t>
            </w:r>
          </w:p>
        </w:tc>
        <w:tc>
          <w:tcPr>
            <w:tcW w:w="7371" w:type="dxa"/>
          </w:tcPr>
          <w:p w14:paraId="7CC4380A"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International Organization for Standardization;</w:t>
            </w:r>
          </w:p>
        </w:tc>
      </w:tr>
      <w:tr w:rsidR="00D90956" w14:paraId="53BB7764" w14:textId="77777777">
        <w:tc>
          <w:tcPr>
            <w:tcW w:w="2694" w:type="dxa"/>
          </w:tcPr>
          <w:p w14:paraId="32A193D5"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“ITIL Framework”</w:t>
            </w:r>
          </w:p>
        </w:tc>
        <w:tc>
          <w:tcPr>
            <w:tcW w:w="7371" w:type="dxa"/>
          </w:tcPr>
          <w:p w14:paraId="7BB1168F"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ITIL is a set of detailed practices for IT service management that focuses on aligning IT Services with the needs of business;</w:t>
            </w:r>
          </w:p>
        </w:tc>
      </w:tr>
      <w:tr w:rsidR="00D90956" w14:paraId="3A7738AB" w14:textId="77777777">
        <w:tc>
          <w:tcPr>
            <w:tcW w:w="2694" w:type="dxa"/>
          </w:tcPr>
          <w:p w14:paraId="59E0128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71" w:type="dxa"/>
          </w:tcPr>
          <w:p w14:paraId="04332DF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D90956" w14:paraId="4BD22221" w14:textId="77777777">
        <w:tc>
          <w:tcPr>
            <w:tcW w:w="2694" w:type="dxa"/>
          </w:tcPr>
          <w:p w14:paraId="0AC5CD1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71" w:type="dxa"/>
          </w:tcPr>
          <w:p w14:paraId="6159C47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D90956" w14:paraId="65ED00D4"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742839"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t>“Joint Schedule(s)”</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E38038D" w14:textId="77777777" w:rsidR="00D90956" w:rsidRDefault="00185F51">
            <w:pPr>
              <w:tabs>
                <w:tab w:val="left" w:pos="284"/>
              </w:tabs>
              <w:spacing w:after="120"/>
              <w:ind w:left="160"/>
              <w:jc w:val="both"/>
              <w:rPr>
                <w:rFonts w:ascii="Arial" w:eastAsia="Arial" w:hAnsi="Arial" w:cs="Arial"/>
                <w:sz w:val="24"/>
                <w:szCs w:val="24"/>
              </w:rPr>
            </w:pPr>
            <w:r>
              <w:rPr>
                <w:rFonts w:ascii="Arial" w:eastAsia="Arial" w:hAnsi="Arial" w:cs="Arial"/>
                <w:sz w:val="24"/>
                <w:szCs w:val="24"/>
              </w:rPr>
              <w:t>means the CCS joint schedule(s) which are common to each Core Terms Contract;</w:t>
            </w:r>
          </w:p>
        </w:tc>
      </w:tr>
      <w:tr w:rsidR="00D90956" w14:paraId="368B0747" w14:textId="77777777">
        <w:tc>
          <w:tcPr>
            <w:tcW w:w="2694" w:type="dxa"/>
          </w:tcPr>
          <w:p w14:paraId="50459F3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“Key Personnel”</w:t>
            </w:r>
          </w:p>
        </w:tc>
        <w:tc>
          <w:tcPr>
            <w:tcW w:w="7371" w:type="dxa"/>
          </w:tcPr>
          <w:p w14:paraId="19FA689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individuals (if any) identified as such in the Order Form;</w:t>
            </w:r>
          </w:p>
        </w:tc>
      </w:tr>
      <w:tr w:rsidR="00D90956" w14:paraId="4C522848" w14:textId="77777777">
        <w:tc>
          <w:tcPr>
            <w:tcW w:w="2694" w:type="dxa"/>
          </w:tcPr>
          <w:p w14:paraId="0EA2FEE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Staff"</w:t>
            </w:r>
          </w:p>
        </w:tc>
        <w:tc>
          <w:tcPr>
            <w:tcW w:w="7371" w:type="dxa"/>
          </w:tcPr>
          <w:p w14:paraId="1E19515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D90956" w14:paraId="60CFF124" w14:textId="77777777">
        <w:trPr>
          <w:trHeight w:val="357"/>
        </w:trPr>
        <w:tc>
          <w:tcPr>
            <w:tcW w:w="2694" w:type="dxa"/>
          </w:tcPr>
          <w:p w14:paraId="06E03C6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71" w:type="dxa"/>
          </w:tcPr>
          <w:p w14:paraId="637A2AF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D90956" w14:paraId="27A78AA1" w14:textId="77777777">
        <w:trPr>
          <w:trHeight w:val="426"/>
        </w:trPr>
        <w:tc>
          <w:tcPr>
            <w:tcW w:w="2694" w:type="dxa"/>
          </w:tcPr>
          <w:p w14:paraId="2462EBF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71" w:type="dxa"/>
          </w:tcPr>
          <w:p w14:paraId="020410B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Subcontractor:</w:t>
            </w:r>
          </w:p>
          <w:p w14:paraId="71013096" w14:textId="77777777" w:rsidR="00D90956" w:rsidRDefault="00185F51">
            <w:pPr>
              <w:numPr>
                <w:ilvl w:val="1"/>
                <w:numId w:val="21"/>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55B1E5FA" w14:textId="77777777" w:rsidR="00D90956" w:rsidRDefault="00185F51">
            <w:pPr>
              <w:numPr>
                <w:ilvl w:val="1"/>
                <w:numId w:val="21"/>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24D07F90" w14:textId="77777777" w:rsidR="00D90956" w:rsidRDefault="00185F51">
            <w:pPr>
              <w:numPr>
                <w:ilvl w:val="1"/>
                <w:numId w:val="21"/>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6DBA85AF" w14:textId="77777777" w:rsidR="00D90956" w:rsidRDefault="00185F51">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D90956" w14:paraId="1E9132F9" w14:textId="77777777">
        <w:tc>
          <w:tcPr>
            <w:tcW w:w="2694" w:type="dxa"/>
          </w:tcPr>
          <w:p w14:paraId="617E064C"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371" w:type="dxa"/>
          </w:tcPr>
          <w:p w14:paraId="3AC47A3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D90956" w14:paraId="2B910847" w14:textId="77777777">
        <w:tc>
          <w:tcPr>
            <w:tcW w:w="2694" w:type="dxa"/>
            <w:vAlign w:val="center"/>
          </w:tcPr>
          <w:p w14:paraId="435D4DA1"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 Credits"</w:t>
            </w:r>
          </w:p>
        </w:tc>
        <w:tc>
          <w:tcPr>
            <w:tcW w:w="7371" w:type="dxa"/>
            <w:vAlign w:val="center"/>
          </w:tcPr>
          <w:p w14:paraId="6D77E4C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KPI credits specified in Call Off Schedule 14 (Key Performance Indicators) as being payable by the Supplier to the Buyer in respect of any failure by the Supplier to meet one or more KPIs;</w:t>
            </w:r>
          </w:p>
        </w:tc>
      </w:tr>
      <w:tr w:rsidR="00D90956" w14:paraId="30C58CD8" w14:textId="77777777">
        <w:tc>
          <w:tcPr>
            <w:tcW w:w="2694" w:type="dxa"/>
            <w:vAlign w:val="center"/>
          </w:tcPr>
          <w:p w14:paraId="75F75F09"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"KPIs"</w:t>
            </w:r>
          </w:p>
        </w:tc>
        <w:tc>
          <w:tcPr>
            <w:tcW w:w="7371" w:type="dxa"/>
            <w:vAlign w:val="center"/>
          </w:tcPr>
          <w:p w14:paraId="2E05D4E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key performance indicator applicable to the provision of the Deliverables under the Call-Off Contract (which, where Call-Off Schedule 14 (Key Performance Indicators) is used in this Contract, are referred to in such Schedule);</w:t>
            </w:r>
          </w:p>
        </w:tc>
      </w:tr>
      <w:tr w:rsidR="00D90956" w14:paraId="1B95A49F" w14:textId="77777777">
        <w:tc>
          <w:tcPr>
            <w:tcW w:w="2694" w:type="dxa"/>
            <w:vAlign w:val="center"/>
          </w:tcPr>
          <w:p w14:paraId="25B8F5A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"Labour Count"</w:t>
            </w:r>
          </w:p>
        </w:tc>
        <w:tc>
          <w:tcPr>
            <w:tcW w:w="7371" w:type="dxa"/>
            <w:vAlign w:val="center"/>
          </w:tcPr>
          <w:p w14:paraId="43B54144"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total number of Transferring Former Supplier Employees and/or Transferring Employer Employees identified in the Supplier’s solution;</w:t>
            </w:r>
          </w:p>
        </w:tc>
      </w:tr>
      <w:tr w:rsidR="00D90956" w14:paraId="65EEE168" w14:textId="77777777">
        <w:trPr>
          <w:trHeight w:val="285"/>
        </w:trPr>
        <w:tc>
          <w:tcPr>
            <w:tcW w:w="2694" w:type="dxa"/>
          </w:tcPr>
          <w:p w14:paraId="56D9363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"Law"</w:t>
            </w:r>
          </w:p>
        </w:tc>
        <w:tc>
          <w:tcPr>
            <w:tcW w:w="7371" w:type="dxa"/>
          </w:tcPr>
          <w:p w14:paraId="6601964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D90956" w14:paraId="049F0ECD" w14:textId="77777777">
        <w:tc>
          <w:tcPr>
            <w:tcW w:w="2694" w:type="dxa"/>
          </w:tcPr>
          <w:p w14:paraId="184A34C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“LBAC”</w:t>
            </w:r>
          </w:p>
        </w:tc>
        <w:tc>
          <w:tcPr>
            <w:tcW w:w="7371" w:type="dxa"/>
          </w:tcPr>
          <w:p w14:paraId="71D7F35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Label-based access control (LBAC) greatly increases the control you have over who can access your data. LBAC lets you decide exactly who has write access and who has read access to individual rows and individual columns;</w:t>
            </w:r>
          </w:p>
        </w:tc>
      </w:tr>
      <w:tr w:rsidR="00D90956" w14:paraId="35F558CA" w14:textId="77777777">
        <w:tc>
          <w:tcPr>
            <w:tcW w:w="2694" w:type="dxa"/>
          </w:tcPr>
          <w:p w14:paraId="650778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"Losses"</w:t>
            </w:r>
          </w:p>
        </w:tc>
        <w:tc>
          <w:tcPr>
            <w:tcW w:w="7371" w:type="dxa"/>
          </w:tcPr>
          <w:p w14:paraId="6AB8287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D90956" w14:paraId="7EF85A31" w14:textId="77777777">
        <w:tc>
          <w:tcPr>
            <w:tcW w:w="2694" w:type="dxa"/>
          </w:tcPr>
          <w:p w14:paraId="205C050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"Lots"</w:t>
            </w:r>
          </w:p>
        </w:tc>
        <w:tc>
          <w:tcPr>
            <w:tcW w:w="7371" w:type="dxa"/>
          </w:tcPr>
          <w:p w14:paraId="053936CF"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D90956" w14:paraId="7C5AAE60" w14:textId="77777777">
        <w:tc>
          <w:tcPr>
            <w:tcW w:w="2694" w:type="dxa"/>
          </w:tcPr>
          <w:p w14:paraId="18A9167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71" w:type="dxa"/>
          </w:tcPr>
          <w:p w14:paraId="29CEC4A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D90956" w14:paraId="5BD40DA3" w14:textId="77777777">
        <w:tc>
          <w:tcPr>
            <w:tcW w:w="2694" w:type="dxa"/>
          </w:tcPr>
          <w:p w14:paraId="3DE0A12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"Management Information" or “MI”</w:t>
            </w:r>
          </w:p>
        </w:tc>
        <w:tc>
          <w:tcPr>
            <w:tcW w:w="7371" w:type="dxa"/>
          </w:tcPr>
          <w:p w14:paraId="6D93D80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D90956" w14:paraId="530B4BA1" w14:textId="77777777">
        <w:tc>
          <w:tcPr>
            <w:tcW w:w="2694" w:type="dxa"/>
            <w:vAlign w:val="center"/>
          </w:tcPr>
          <w:p w14:paraId="711C18E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 xml:space="preserve">“Management Overhead” </w:t>
            </w:r>
          </w:p>
        </w:tc>
        <w:tc>
          <w:tcPr>
            <w:tcW w:w="7371" w:type="dxa"/>
            <w:vAlign w:val="center"/>
          </w:tcPr>
          <w:p w14:paraId="249E41B8"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14:paraId="664BEEEE"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14:paraId="270DAF50" w14:textId="0B9DD7A1" w:rsidR="00D90956" w:rsidRDefault="00185F51" w:rsidP="007E0C7C">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specific Further Competition.</w:t>
            </w:r>
          </w:p>
        </w:tc>
      </w:tr>
      <w:tr w:rsidR="00D90956" w14:paraId="5BD28B7F" w14:textId="77777777">
        <w:tc>
          <w:tcPr>
            <w:tcW w:w="2694" w:type="dxa"/>
            <w:vAlign w:val="center"/>
          </w:tcPr>
          <w:p w14:paraId="736148D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263238"/>
                <w:sz w:val="24"/>
                <w:szCs w:val="24"/>
              </w:rPr>
              <w:t>“Mandatory Wage”</w:t>
            </w:r>
          </w:p>
        </w:tc>
        <w:tc>
          <w:tcPr>
            <w:tcW w:w="7371" w:type="dxa"/>
            <w:vAlign w:val="center"/>
          </w:tcPr>
          <w:p w14:paraId="7634226A" w14:textId="77777777" w:rsidR="00D90956" w:rsidRDefault="00185F51">
            <w:pPr>
              <w:tabs>
                <w:tab w:val="left" w:pos="284"/>
              </w:tabs>
              <w:ind w:left="284" w:right="282"/>
              <w:rPr>
                <w:rFonts w:ascii="Arial" w:eastAsia="Arial" w:hAnsi="Arial" w:cs="Arial"/>
                <w:color w:val="263238"/>
                <w:sz w:val="24"/>
                <w:szCs w:val="24"/>
              </w:rPr>
            </w:pPr>
            <w:r>
              <w:rPr>
                <w:rFonts w:ascii="Arial" w:eastAsia="Arial" w:hAnsi="Arial" w:cs="Arial"/>
                <w:color w:val="202124"/>
                <w:sz w:val="24"/>
                <w:szCs w:val="24"/>
              </w:rPr>
              <w:t xml:space="preserve"> Means either: </w:t>
            </w:r>
          </w:p>
          <w:p w14:paraId="49193345" w14:textId="77777777" w:rsidR="00D90956" w:rsidRDefault="00185F51">
            <w:pPr>
              <w:tabs>
                <w:tab w:val="left" w:pos="284"/>
              </w:tabs>
              <w:ind w:left="1133" w:right="282" w:hanging="850"/>
              <w:rPr>
                <w:rFonts w:ascii="Arial" w:eastAsia="Arial" w:hAnsi="Arial" w:cs="Arial"/>
                <w:sz w:val="24"/>
                <w:szCs w:val="24"/>
              </w:rPr>
            </w:pPr>
            <w:r>
              <w:rPr>
                <w:rFonts w:ascii="Arial" w:eastAsia="Arial" w:hAnsi="Arial" w:cs="Arial"/>
                <w:sz w:val="24"/>
                <w:szCs w:val="24"/>
              </w:rPr>
              <w:t>a)          the statutory minimum hourly rate of pay including the National Living Wage and National Minimum Wage as set by the Crown; or</w:t>
            </w:r>
          </w:p>
          <w:p w14:paraId="6F9C576B" w14:textId="4165EA52" w:rsidR="00D90956" w:rsidRDefault="00185F51" w:rsidP="007E0C7C">
            <w:pPr>
              <w:tabs>
                <w:tab w:val="left" w:pos="284"/>
              </w:tabs>
              <w:ind w:left="1133" w:right="282" w:hanging="850"/>
              <w:rPr>
                <w:rFonts w:ascii="Arial" w:eastAsia="Arial" w:hAnsi="Arial" w:cs="Arial"/>
                <w:color w:val="263238"/>
                <w:sz w:val="24"/>
                <w:szCs w:val="24"/>
              </w:rPr>
            </w:pPr>
            <w:r>
              <w:rPr>
                <w:rFonts w:ascii="Arial" w:eastAsia="Arial" w:hAnsi="Arial" w:cs="Arial"/>
                <w:sz w:val="24"/>
                <w:szCs w:val="24"/>
              </w:rPr>
              <w:t>b)          in the case of a Call-off Contract the introduction of a requirement by the Buyer that the Supplier pay Supplier Personnel a non-statutory minimum hourly rate of pay.</w:t>
            </w:r>
          </w:p>
        </w:tc>
      </w:tr>
      <w:tr w:rsidR="00D90956" w14:paraId="05A1EF5C" w14:textId="77777777">
        <w:tc>
          <w:tcPr>
            <w:tcW w:w="2694" w:type="dxa"/>
          </w:tcPr>
          <w:p w14:paraId="373E691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Default”</w:t>
            </w:r>
          </w:p>
        </w:tc>
        <w:tc>
          <w:tcPr>
            <w:tcW w:w="7371" w:type="dxa"/>
          </w:tcPr>
          <w:p w14:paraId="70519A8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D90956" w14:paraId="5A99E6B9" w14:textId="77777777">
        <w:tc>
          <w:tcPr>
            <w:tcW w:w="2694" w:type="dxa"/>
          </w:tcPr>
          <w:p w14:paraId="306846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Failure"</w:t>
            </w:r>
          </w:p>
        </w:tc>
        <w:tc>
          <w:tcPr>
            <w:tcW w:w="7371" w:type="dxa"/>
          </w:tcPr>
          <w:p w14:paraId="2B63CC8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2EA9F83D" w14:textId="77777777" w:rsidR="00D90956" w:rsidRDefault="00185F51">
            <w:pPr>
              <w:numPr>
                <w:ilvl w:val="1"/>
                <w:numId w:val="15"/>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49A5018B" w14:textId="77777777" w:rsidR="00D90956" w:rsidRDefault="00185F51">
            <w:pPr>
              <w:numPr>
                <w:ilvl w:val="1"/>
                <w:numId w:val="15"/>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5A3912FA" w14:textId="77777777" w:rsidR="00D90956" w:rsidRDefault="00185F51">
            <w:pPr>
              <w:numPr>
                <w:ilvl w:val="1"/>
                <w:numId w:val="15"/>
              </w:numPr>
              <w:pBdr>
                <w:top w:val="nil"/>
                <w:left w:val="nil"/>
                <w:bottom w:val="nil"/>
                <w:right w:val="nil"/>
                <w:between w:val="nil"/>
              </w:pBdr>
              <w:tabs>
                <w:tab w:val="left" w:pos="-576"/>
                <w:tab w:val="left" w:pos="175"/>
                <w:tab w:val="left" w:pos="284"/>
              </w:tabs>
              <w:spacing w:after="120"/>
              <w:ind w:left="1133" w:right="282" w:hanging="850"/>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D90956" w14:paraId="064BF98D" w14:textId="77777777">
        <w:tc>
          <w:tcPr>
            <w:tcW w:w="2694" w:type="dxa"/>
          </w:tcPr>
          <w:p w14:paraId="5D35223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w:t>
            </w:r>
          </w:p>
        </w:tc>
        <w:tc>
          <w:tcPr>
            <w:tcW w:w="7371" w:type="dxa"/>
          </w:tcPr>
          <w:p w14:paraId="5A6F98F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D90956" w14:paraId="345C8B9E" w14:textId="77777777">
        <w:tc>
          <w:tcPr>
            <w:tcW w:w="2694" w:type="dxa"/>
          </w:tcPr>
          <w:p w14:paraId="2BB1441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71" w:type="dxa"/>
          </w:tcPr>
          <w:p w14:paraId="4A8D936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D90956" w14:paraId="575109BC" w14:textId="77777777">
        <w:tc>
          <w:tcPr>
            <w:tcW w:w="2694" w:type="dxa"/>
          </w:tcPr>
          <w:p w14:paraId="5D6504E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w:t>
            </w:r>
          </w:p>
        </w:tc>
        <w:tc>
          <w:tcPr>
            <w:tcW w:w="7371" w:type="dxa"/>
          </w:tcPr>
          <w:p w14:paraId="0779662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event or task described in the Mobilisation Plan;</w:t>
            </w:r>
          </w:p>
        </w:tc>
      </w:tr>
      <w:tr w:rsidR="00D90956" w14:paraId="27BCD32A" w14:textId="77777777">
        <w:tc>
          <w:tcPr>
            <w:tcW w:w="2694" w:type="dxa"/>
          </w:tcPr>
          <w:p w14:paraId="5AEF5F2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"Milestone Date"</w:t>
            </w:r>
          </w:p>
        </w:tc>
        <w:tc>
          <w:tcPr>
            <w:tcW w:w="7371" w:type="dxa"/>
          </w:tcPr>
          <w:p w14:paraId="2C21CCD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Mobilisation Plan by which the Milestone must be Achieved;</w:t>
            </w:r>
          </w:p>
        </w:tc>
      </w:tr>
      <w:tr w:rsidR="00D90956" w14:paraId="3F84006D" w14:textId="77777777">
        <w:tc>
          <w:tcPr>
            <w:tcW w:w="2694" w:type="dxa"/>
            <w:vAlign w:val="center"/>
          </w:tcPr>
          <w:p w14:paraId="11FDB16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Period”</w:t>
            </w:r>
          </w:p>
        </w:tc>
        <w:tc>
          <w:tcPr>
            <w:tcW w:w="7371" w:type="dxa"/>
            <w:vAlign w:val="center"/>
          </w:tcPr>
          <w:p w14:paraId="4C8C5AC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a [six (6) Month] period, following the Effective Date, prior to commencement of the Services (unless stated otherwise in the Order Form)</w:t>
            </w:r>
          </w:p>
        </w:tc>
      </w:tr>
      <w:tr w:rsidR="00D90956" w14:paraId="4AFD3975" w14:textId="77777777">
        <w:tc>
          <w:tcPr>
            <w:tcW w:w="2694" w:type="dxa"/>
            <w:vAlign w:val="center"/>
          </w:tcPr>
          <w:p w14:paraId="461137E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Plan"</w:t>
            </w:r>
          </w:p>
        </w:tc>
        <w:tc>
          <w:tcPr>
            <w:tcW w:w="7371" w:type="dxa"/>
            <w:vAlign w:val="center"/>
          </w:tcPr>
          <w:p w14:paraId="1D9A7EBF"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plan for provision of the Deliverables set out in Call-Off Schedule 13 (Mobilisation Plan and Testing) where that Schedule is used or otherwise as agreed between the Supplier and the Buyer;</w:t>
            </w:r>
          </w:p>
        </w:tc>
      </w:tr>
      <w:tr w:rsidR="00D90956" w14:paraId="7D5EA81E" w14:textId="77777777">
        <w:tc>
          <w:tcPr>
            <w:tcW w:w="2694" w:type="dxa"/>
          </w:tcPr>
          <w:p w14:paraId="6F920FB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"Month"</w:t>
            </w:r>
          </w:p>
        </w:tc>
        <w:tc>
          <w:tcPr>
            <w:tcW w:w="7371" w:type="dxa"/>
          </w:tcPr>
          <w:p w14:paraId="517129D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D90956" w14:paraId="4DD748C2" w14:textId="77777777">
        <w:tc>
          <w:tcPr>
            <w:tcW w:w="2694" w:type="dxa"/>
            <w:vAlign w:val="center"/>
          </w:tcPr>
          <w:p w14:paraId="33647BA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"Monthly TUPE Risk Premium"</w:t>
            </w:r>
          </w:p>
        </w:tc>
        <w:tc>
          <w:tcPr>
            <w:tcW w:w="7371" w:type="dxa"/>
            <w:vAlign w:val="center"/>
          </w:tcPr>
          <w:p w14:paraId="30E7F60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the monthly TUPE risk premium payable for the Previous Service Month calculated in accordance with Call-Off Schedule 286 (TUPE Surcharge); </w:t>
            </w:r>
          </w:p>
        </w:tc>
      </w:tr>
      <w:tr w:rsidR="00D90956" w14:paraId="7A73D220" w14:textId="77777777">
        <w:tc>
          <w:tcPr>
            <w:tcW w:w="2694" w:type="dxa"/>
          </w:tcPr>
          <w:p w14:paraId="570F13D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71" w:type="dxa"/>
          </w:tcPr>
          <w:p w14:paraId="7879F9DF" w14:textId="5884E296"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r w:rsidR="007E0C7C">
              <w:rPr>
                <w:rFonts w:ascii="Arial" w:eastAsia="Arial" w:hAnsi="Arial" w:cs="Arial"/>
                <w:color w:val="000000"/>
                <w:sz w:val="24"/>
                <w:szCs w:val="24"/>
              </w:rPr>
              <w:t>the Social</w:t>
            </w:r>
            <w:r>
              <w:rPr>
                <w:rFonts w:ascii="Arial" w:eastAsia="Arial" w:hAnsi="Arial" w:cs="Arial"/>
                <w:color w:val="000000"/>
                <w:sz w:val="24"/>
                <w:szCs w:val="24"/>
              </w:rPr>
              <w:t xml:space="preserve"> Security (Contributions) Regulations 2001 (SI 2001/1004);</w:t>
            </w:r>
          </w:p>
        </w:tc>
      </w:tr>
      <w:tr w:rsidR="00D90956" w14:paraId="252EF851" w14:textId="77777777">
        <w:tc>
          <w:tcPr>
            <w:tcW w:w="2694" w:type="dxa"/>
          </w:tcPr>
          <w:p w14:paraId="4851080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“NCSC”</w:t>
            </w:r>
          </w:p>
        </w:tc>
        <w:tc>
          <w:tcPr>
            <w:tcW w:w="7371" w:type="dxa"/>
          </w:tcPr>
          <w:p w14:paraId="67AE4F8E"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National Cyber Security Centre</w:t>
            </w:r>
          </w:p>
        </w:tc>
      </w:tr>
      <w:tr w:rsidR="00D90956" w14:paraId="3423DA1A" w14:textId="77777777">
        <w:tc>
          <w:tcPr>
            <w:tcW w:w="2694" w:type="dxa"/>
          </w:tcPr>
          <w:p w14:paraId="15F90D5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"New IPR"</w:t>
            </w:r>
          </w:p>
        </w:tc>
        <w:tc>
          <w:tcPr>
            <w:tcW w:w="7371" w:type="dxa"/>
          </w:tcPr>
          <w:p w14:paraId="0E80F116" w14:textId="77777777" w:rsidR="00D90956" w:rsidRDefault="00185F51">
            <w:pPr>
              <w:numPr>
                <w:ilvl w:val="1"/>
                <w:numId w:val="11"/>
              </w:numPr>
              <w:pBdr>
                <w:top w:val="nil"/>
                <w:left w:val="nil"/>
                <w:bottom w:val="nil"/>
                <w:right w:val="nil"/>
                <w:between w:val="nil"/>
              </w:pBdr>
              <w:tabs>
                <w:tab w:val="left" w:pos="-576"/>
                <w:tab w:val="left" w:pos="144"/>
              </w:tabs>
              <w:spacing w:after="120"/>
              <w:ind w:left="1133" w:right="282" w:hanging="850"/>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03AD9ADC" w14:textId="77777777" w:rsidR="00D90956" w:rsidRDefault="00185F51">
            <w:pPr>
              <w:numPr>
                <w:ilvl w:val="1"/>
                <w:numId w:val="11"/>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361A9070"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D90956" w14:paraId="76714E22" w14:textId="77777777">
        <w:tc>
          <w:tcPr>
            <w:tcW w:w="2694" w:type="dxa"/>
          </w:tcPr>
          <w:p w14:paraId="5E72E0E0" w14:textId="77777777" w:rsidR="00D90956" w:rsidRDefault="00185F51">
            <w:pPr>
              <w:spacing w:after="120"/>
              <w:rPr>
                <w:rFonts w:ascii="Arial" w:eastAsia="Arial" w:hAnsi="Arial" w:cs="Arial"/>
                <w:b/>
                <w:color w:val="000000"/>
                <w:sz w:val="24"/>
                <w:szCs w:val="24"/>
              </w:rPr>
            </w:pPr>
            <w:r>
              <w:rPr>
                <w:rFonts w:ascii="Arial" w:eastAsia="Arial" w:hAnsi="Arial" w:cs="Arial"/>
                <w:b/>
                <w:sz w:val="24"/>
                <w:szCs w:val="24"/>
              </w:rPr>
              <w:t>"New Service"</w:t>
            </w:r>
          </w:p>
        </w:tc>
        <w:tc>
          <w:tcPr>
            <w:tcW w:w="7371" w:type="dxa"/>
          </w:tcPr>
          <w:p w14:paraId="7829CB83"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a service that prior to engagement does not exist in its required form;</w:t>
            </w:r>
          </w:p>
        </w:tc>
      </w:tr>
      <w:tr w:rsidR="00D90956" w14:paraId="2CA968CE"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CF5DC4" w14:textId="77777777" w:rsidR="00D90956" w:rsidRDefault="00185F51">
            <w:pPr>
              <w:tabs>
                <w:tab w:val="left" w:pos="284"/>
              </w:tabs>
              <w:spacing w:after="120"/>
              <w:ind w:left="-100"/>
              <w:rPr>
                <w:rFonts w:ascii="Arial" w:eastAsia="Arial" w:hAnsi="Arial" w:cs="Arial"/>
                <w:b/>
                <w:sz w:val="24"/>
                <w:szCs w:val="24"/>
              </w:rPr>
            </w:pPr>
            <w:r>
              <w:rPr>
                <w:rFonts w:ascii="Arial" w:eastAsia="Arial" w:hAnsi="Arial" w:cs="Arial"/>
                <w:b/>
                <w:sz w:val="24"/>
                <w:szCs w:val="24"/>
              </w:rPr>
              <w:t>“Non-Core Terms Call Off Contract”</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54D2C4C" w14:textId="77777777" w:rsidR="00D90956" w:rsidRDefault="00185F51">
            <w:pPr>
              <w:tabs>
                <w:tab w:val="left" w:pos="284"/>
              </w:tabs>
              <w:spacing w:after="120"/>
              <w:jc w:val="both"/>
              <w:rPr>
                <w:rFonts w:ascii="Arial" w:eastAsia="Arial" w:hAnsi="Arial" w:cs="Arial"/>
                <w:sz w:val="24"/>
                <w:szCs w:val="24"/>
              </w:rPr>
            </w:pPr>
            <w:r>
              <w:rPr>
                <w:rFonts w:ascii="Arial" w:eastAsia="Arial" w:hAnsi="Arial" w:cs="Arial"/>
                <w:sz w:val="24"/>
                <w:szCs w:val="24"/>
              </w:rPr>
              <w:t>any Call Off Contract which is not a Core Terms Call Off Contract;</w:t>
            </w:r>
          </w:p>
        </w:tc>
      </w:tr>
      <w:tr w:rsidR="00D90956" w14:paraId="3815B722" w14:textId="77777777">
        <w:tc>
          <w:tcPr>
            <w:tcW w:w="2694" w:type="dxa"/>
          </w:tcPr>
          <w:p w14:paraId="7A2670C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71" w:type="dxa"/>
          </w:tcPr>
          <w:p w14:paraId="2FC1D9F0"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3AD29D09" w14:textId="77777777" w:rsidR="00D90956" w:rsidRDefault="00185F51">
            <w:pPr>
              <w:numPr>
                <w:ilvl w:val="1"/>
                <w:numId w:val="13"/>
              </w:numPr>
              <w:pBdr>
                <w:top w:val="nil"/>
                <w:left w:val="nil"/>
                <w:bottom w:val="nil"/>
                <w:right w:val="nil"/>
                <w:between w:val="nil"/>
              </w:pBdr>
              <w:tabs>
                <w:tab w:val="left" w:pos="-576"/>
                <w:tab w:val="left" w:pos="144"/>
                <w:tab w:val="left" w:pos="1125"/>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3CDF3BBC" w14:textId="77777777" w:rsidR="00D90956" w:rsidRDefault="00185F51">
            <w:pPr>
              <w:numPr>
                <w:ilvl w:val="2"/>
                <w:numId w:val="13"/>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5B03707D" w14:textId="77777777" w:rsidR="00D90956" w:rsidRDefault="00185F51">
            <w:pPr>
              <w:numPr>
                <w:ilvl w:val="2"/>
                <w:numId w:val="13"/>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2DFF5968" w14:textId="7CF571ED" w:rsidR="00D90956" w:rsidRDefault="00185F51">
            <w:pPr>
              <w:numPr>
                <w:ilvl w:val="1"/>
                <w:numId w:val="13"/>
              </w:numPr>
              <w:pBdr>
                <w:top w:val="nil"/>
                <w:left w:val="nil"/>
                <w:bottom w:val="nil"/>
                <w:right w:val="nil"/>
                <w:between w:val="nil"/>
              </w:pBdr>
              <w:tabs>
                <w:tab w:val="left" w:pos="-576"/>
                <w:tab w:val="left" w:pos="144"/>
                <w:tab w:val="left" w:pos="270"/>
              </w:tabs>
              <w:spacing w:after="120"/>
              <w:ind w:left="1133" w:right="282" w:hanging="855"/>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for Tax related offences which is not spent at the </w:t>
            </w:r>
            <w:r w:rsidRPr="007E0C7C">
              <w:rPr>
                <w:rFonts w:ascii="Arial" w:eastAsia="Arial" w:hAnsi="Arial" w:cs="Arial"/>
                <w:color w:val="000000"/>
                <w:sz w:val="24"/>
                <w:szCs w:val="24"/>
              </w:rPr>
              <w:t>Effective Date</w:t>
            </w:r>
            <w:r>
              <w:rPr>
                <w:rFonts w:ascii="Arial" w:eastAsia="Arial" w:hAnsi="Arial" w:cs="Arial"/>
                <w:color w:val="000000"/>
                <w:sz w:val="24"/>
                <w:szCs w:val="24"/>
              </w:rPr>
              <w:t xml:space="preserve"> or to a civil penalty for fraud or evasion;</w:t>
            </w:r>
          </w:p>
        </w:tc>
      </w:tr>
      <w:tr w:rsidR="00D90956" w14:paraId="219AE636" w14:textId="77777777">
        <w:tc>
          <w:tcPr>
            <w:tcW w:w="2694" w:type="dxa"/>
          </w:tcPr>
          <w:p w14:paraId="341F70B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“Off-Shore”</w:t>
            </w:r>
          </w:p>
        </w:tc>
        <w:tc>
          <w:tcPr>
            <w:tcW w:w="7371" w:type="dxa"/>
          </w:tcPr>
          <w:p w14:paraId="3533DC6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Services delivered from outside the United Kingdom</w:t>
            </w:r>
          </w:p>
        </w:tc>
      </w:tr>
      <w:tr w:rsidR="00D90956" w14:paraId="2AE0C94B" w14:textId="77777777">
        <w:tc>
          <w:tcPr>
            <w:tcW w:w="2694" w:type="dxa"/>
          </w:tcPr>
          <w:p w14:paraId="4E7E5F1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“OLA”</w:t>
            </w:r>
          </w:p>
        </w:tc>
        <w:tc>
          <w:tcPr>
            <w:tcW w:w="7371" w:type="dxa"/>
          </w:tcPr>
          <w:p w14:paraId="6112B50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an operational-level agreement (OLA) defines the interdependent relationships in support of a service-level agreement (SLA);</w:t>
            </w:r>
          </w:p>
          <w:p w14:paraId="25B84FF9" w14:textId="77777777" w:rsidR="00D90956" w:rsidRDefault="00D90956">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tc>
      </w:tr>
      <w:tr w:rsidR="00D90956" w14:paraId="5E8147F2" w14:textId="77777777">
        <w:tc>
          <w:tcPr>
            <w:tcW w:w="2694" w:type="dxa"/>
          </w:tcPr>
          <w:p w14:paraId="0C9700D1"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“On-Shore”</w:t>
            </w:r>
          </w:p>
        </w:tc>
        <w:tc>
          <w:tcPr>
            <w:tcW w:w="7371" w:type="dxa"/>
          </w:tcPr>
          <w:p w14:paraId="1806F8B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Services delivered from within the United Kingdom</w:t>
            </w:r>
          </w:p>
        </w:tc>
      </w:tr>
      <w:tr w:rsidR="00D90956" w14:paraId="428A680E" w14:textId="77777777">
        <w:tc>
          <w:tcPr>
            <w:tcW w:w="2694" w:type="dxa"/>
          </w:tcPr>
          <w:p w14:paraId="20B1EE3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71" w:type="dxa"/>
          </w:tcPr>
          <w:p w14:paraId="650CDC5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96DFB6E" w14:textId="77777777" w:rsidR="00D90956" w:rsidRDefault="00185F51">
            <w:pPr>
              <w:numPr>
                <w:ilvl w:val="1"/>
                <w:numId w:val="25"/>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4B536E2C"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operating expenditure relating to the provision of the Deliverables including an analysis showing:</w:t>
            </w:r>
          </w:p>
          <w:p w14:paraId="5AB66533"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the unit costs and quantity of Goods and any other consumables and bought-in Deliverables;</w:t>
            </w:r>
          </w:p>
          <w:p w14:paraId="22553FDA"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staff costs broken down into the number and grade/role of all Supplier Staff (free of any </w:t>
            </w:r>
            <w:r>
              <w:rPr>
                <w:rFonts w:ascii="Arial" w:eastAsia="Arial" w:hAnsi="Arial" w:cs="Arial"/>
                <w:color w:val="000000"/>
                <w:sz w:val="24"/>
                <w:szCs w:val="24"/>
              </w:rPr>
              <w:lastRenderedPageBreak/>
              <w:t>contingency) together with a list of agreed rates against each grade;</w:t>
            </w:r>
          </w:p>
          <w:p w14:paraId="3B7F5E5F"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a list of Costs underpinning those rates for each grade, being the agreed rate less the Supplier Profit Margin; and</w:t>
            </w:r>
          </w:p>
          <w:p w14:paraId="205423A0"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Reimbursable Expenses, if allowed under the Order Form; </w:t>
            </w:r>
          </w:p>
          <w:p w14:paraId="56E7850B"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 xml:space="preserve">Overheads; </w:t>
            </w:r>
          </w:p>
          <w:p w14:paraId="0AE7E19F"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all interest, expenses and any other third party financing costs incurred in relation to the provision of the Deliverables;</w:t>
            </w:r>
          </w:p>
          <w:p w14:paraId="7CC75671"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the Supplier Profit achieved over the Framework Contract Period and on an annual basis;</w:t>
            </w:r>
          </w:p>
          <w:p w14:paraId="064C2A69"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3303AD47"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2F1B39F0"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rPr>
                <w:rFonts w:ascii="Arial" w:eastAsia="Arial" w:hAnsi="Arial" w:cs="Arial"/>
                <w:color w:val="000000"/>
                <w:sz w:val="26"/>
                <w:szCs w:val="26"/>
              </w:rPr>
            </w:pPr>
            <w:r>
              <w:rPr>
                <w:rFonts w:ascii="Arial" w:eastAsia="Arial" w:hAnsi="Arial" w:cs="Arial"/>
                <w:color w:val="000000"/>
                <w:sz w:val="24"/>
                <w:szCs w:val="24"/>
              </w:rPr>
              <w:t>the actual Costs profile for each Service Period;</w:t>
            </w:r>
          </w:p>
        </w:tc>
      </w:tr>
      <w:tr w:rsidR="00D90956" w14:paraId="001F00A2" w14:textId="77777777">
        <w:tc>
          <w:tcPr>
            <w:tcW w:w="2694" w:type="dxa"/>
          </w:tcPr>
          <w:p w14:paraId="52C6BFF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371" w:type="dxa"/>
          </w:tcPr>
          <w:p w14:paraId="2DBE7F1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D90956" w14:paraId="1D769F89" w14:textId="77777777">
        <w:tc>
          <w:tcPr>
            <w:tcW w:w="2694" w:type="dxa"/>
          </w:tcPr>
          <w:p w14:paraId="406807D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w:t>
            </w:r>
          </w:p>
        </w:tc>
        <w:tc>
          <w:tcPr>
            <w:tcW w:w="7371" w:type="dxa"/>
          </w:tcPr>
          <w:p w14:paraId="7200A2E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D90956" w14:paraId="21F600C1" w14:textId="77777777">
        <w:tc>
          <w:tcPr>
            <w:tcW w:w="2694" w:type="dxa"/>
          </w:tcPr>
          <w:p w14:paraId="6AD30AF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71" w:type="dxa"/>
          </w:tcPr>
          <w:p w14:paraId="3D59329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D90956" w14:paraId="17220780" w14:textId="77777777">
        <w:trPr>
          <w:trHeight w:val="675"/>
        </w:trPr>
        <w:tc>
          <w:tcPr>
            <w:tcW w:w="2694" w:type="dxa"/>
          </w:tcPr>
          <w:p w14:paraId="7587AD4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71" w:type="dxa"/>
          </w:tcPr>
          <w:p w14:paraId="71103DD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D90956" w14:paraId="0F572557" w14:textId="77777777">
        <w:tc>
          <w:tcPr>
            <w:tcW w:w="2694" w:type="dxa"/>
          </w:tcPr>
          <w:p w14:paraId="0F86869B"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 xml:space="preserve">"Overhead" </w:t>
            </w:r>
          </w:p>
        </w:tc>
        <w:tc>
          <w:tcPr>
            <w:tcW w:w="7371" w:type="dxa"/>
            <w:vAlign w:val="center"/>
          </w:tcPr>
          <w:p w14:paraId="36E69843"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Overhead includes the following elements.</w:t>
            </w:r>
          </w:p>
          <w:p w14:paraId="476C25C5"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Management Overhead</w:t>
            </w:r>
          </w:p>
          <w:p w14:paraId="1AF1D1D5"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14:paraId="4A0B94FF"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14:paraId="395FD274"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specific Further Competition.</w:t>
            </w:r>
          </w:p>
          <w:p w14:paraId="2C19817C"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Corporate Overhead</w:t>
            </w:r>
          </w:p>
          <w:p w14:paraId="6989479D"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14:paraId="528D3C8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D90956" w14:paraId="7DB7047D" w14:textId="77777777">
        <w:tc>
          <w:tcPr>
            <w:tcW w:w="2694" w:type="dxa"/>
          </w:tcPr>
          <w:p w14:paraId="1D40337A"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“Overpayments”</w:t>
            </w:r>
          </w:p>
        </w:tc>
        <w:tc>
          <w:tcPr>
            <w:tcW w:w="7371" w:type="dxa"/>
          </w:tcPr>
          <w:p w14:paraId="4303A3F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payment in excess of what is due;</w:t>
            </w:r>
          </w:p>
        </w:tc>
      </w:tr>
      <w:tr w:rsidR="00D90956" w14:paraId="17A6DBCA" w14:textId="77777777">
        <w:tc>
          <w:tcPr>
            <w:tcW w:w="2694" w:type="dxa"/>
          </w:tcPr>
          <w:p w14:paraId="7134189B"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"Parliament"</w:t>
            </w:r>
          </w:p>
        </w:tc>
        <w:tc>
          <w:tcPr>
            <w:tcW w:w="7371" w:type="dxa"/>
          </w:tcPr>
          <w:p w14:paraId="76A0F36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D90956" w14:paraId="5649D351" w14:textId="77777777">
        <w:tc>
          <w:tcPr>
            <w:tcW w:w="2694" w:type="dxa"/>
          </w:tcPr>
          <w:p w14:paraId="774A83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"Party"</w:t>
            </w:r>
          </w:p>
        </w:tc>
        <w:tc>
          <w:tcPr>
            <w:tcW w:w="7371" w:type="dxa"/>
          </w:tcPr>
          <w:p w14:paraId="009E5C5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D90956" w14:paraId="4D0209E9" w14:textId="77777777">
        <w:tc>
          <w:tcPr>
            <w:tcW w:w="2694" w:type="dxa"/>
          </w:tcPr>
          <w:p w14:paraId="693CB679" w14:textId="77777777" w:rsidR="00D90956" w:rsidRDefault="00185F51">
            <w:pPr>
              <w:spacing w:after="120"/>
              <w:rPr>
                <w:rFonts w:ascii="Arial" w:eastAsia="Arial" w:hAnsi="Arial" w:cs="Arial"/>
                <w:b/>
                <w:color w:val="000000"/>
                <w:sz w:val="24"/>
                <w:szCs w:val="24"/>
              </w:rPr>
            </w:pPr>
            <w:r>
              <w:rPr>
                <w:rFonts w:ascii="Arial" w:eastAsia="Arial" w:hAnsi="Arial" w:cs="Arial"/>
                <w:b/>
                <w:sz w:val="24"/>
                <w:szCs w:val="24"/>
              </w:rPr>
              <w:t>"Payment Processing"</w:t>
            </w:r>
          </w:p>
        </w:tc>
        <w:tc>
          <w:tcPr>
            <w:tcW w:w="7371" w:type="dxa"/>
          </w:tcPr>
          <w:p w14:paraId="59312269"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The transactions in regards to taking/making payments both by an agent and the front end/back end systems required.</w:t>
            </w:r>
          </w:p>
        </w:tc>
      </w:tr>
      <w:tr w:rsidR="00D90956" w14:paraId="6C8C31AD" w14:textId="77777777">
        <w:tc>
          <w:tcPr>
            <w:tcW w:w="2694" w:type="dxa"/>
            <w:vAlign w:val="center"/>
          </w:tcPr>
          <w:p w14:paraId="6242FB78" w14:textId="77777777" w:rsidR="00D90956" w:rsidRDefault="00185F51">
            <w:pPr>
              <w:spacing w:after="120"/>
              <w:rPr>
                <w:rFonts w:ascii="Arial" w:eastAsia="Arial" w:hAnsi="Arial" w:cs="Arial"/>
                <w:b/>
                <w:sz w:val="24"/>
                <w:szCs w:val="24"/>
              </w:rPr>
            </w:pPr>
            <w:r>
              <w:rPr>
                <w:rFonts w:ascii="Arial" w:eastAsia="Arial" w:hAnsi="Arial" w:cs="Arial"/>
                <w:b/>
                <w:sz w:val="24"/>
                <w:szCs w:val="24"/>
              </w:rPr>
              <w:t>"Pass Through Costs"</w:t>
            </w:r>
          </w:p>
        </w:tc>
        <w:tc>
          <w:tcPr>
            <w:tcW w:w="7371" w:type="dxa"/>
            <w:vAlign w:val="center"/>
          </w:tcPr>
          <w:p w14:paraId="3EB623E7"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 xml:space="preserve">third party costs incurred by the Supplier in connection with the provision of the Deliverables that are passed through to the </w:t>
            </w:r>
            <w:r>
              <w:rPr>
                <w:rFonts w:ascii="Arial" w:eastAsia="Arial" w:hAnsi="Arial" w:cs="Arial"/>
                <w:sz w:val="24"/>
                <w:szCs w:val="24"/>
              </w:rPr>
              <w:lastRenderedPageBreak/>
              <w:t>Buyer with no additional mark-ups and to which the Management Charge does not apply.</w:t>
            </w:r>
          </w:p>
        </w:tc>
      </w:tr>
      <w:tr w:rsidR="00D90956" w14:paraId="1BFACD2C" w14:textId="77777777">
        <w:tc>
          <w:tcPr>
            <w:tcW w:w="2694" w:type="dxa"/>
            <w:vAlign w:val="center"/>
          </w:tcPr>
          <w:p w14:paraId="595AB51A" w14:textId="77777777" w:rsidR="00D90956" w:rsidRDefault="00185F51">
            <w:pPr>
              <w:spacing w:after="120"/>
              <w:rPr>
                <w:rFonts w:ascii="Arial" w:eastAsia="Arial" w:hAnsi="Arial" w:cs="Arial"/>
                <w:b/>
                <w:sz w:val="24"/>
                <w:szCs w:val="24"/>
              </w:rPr>
            </w:pPr>
            <w:r>
              <w:rPr>
                <w:rFonts w:ascii="Arial" w:eastAsia="Arial" w:hAnsi="Arial" w:cs="Arial"/>
                <w:b/>
                <w:sz w:val="24"/>
                <w:szCs w:val="24"/>
              </w:rPr>
              <w:lastRenderedPageBreak/>
              <w:t>"Payment Index"</w:t>
            </w:r>
          </w:p>
        </w:tc>
        <w:tc>
          <w:tcPr>
            <w:tcW w:w="7371" w:type="dxa"/>
            <w:vAlign w:val="center"/>
          </w:tcPr>
          <w:p w14:paraId="07E29F02"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is the index identified as such in the Order Form;</w:t>
            </w:r>
          </w:p>
        </w:tc>
      </w:tr>
      <w:tr w:rsidR="00D90956" w14:paraId="551556BC" w14:textId="77777777">
        <w:tc>
          <w:tcPr>
            <w:tcW w:w="2694" w:type="dxa"/>
          </w:tcPr>
          <w:p w14:paraId="7F9DC2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71" w:type="dxa"/>
          </w:tcPr>
          <w:p w14:paraId="62363829"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D90956" w14:paraId="784ECD45" w14:textId="77777777">
        <w:tc>
          <w:tcPr>
            <w:tcW w:w="2694" w:type="dxa"/>
            <w:vAlign w:val="center"/>
          </w:tcPr>
          <w:p w14:paraId="2EAD3BF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“Permit to Work”</w:t>
            </w:r>
          </w:p>
        </w:tc>
        <w:tc>
          <w:tcPr>
            <w:tcW w:w="7371" w:type="dxa"/>
            <w:vAlign w:val="center"/>
          </w:tcPr>
          <w:p w14:paraId="46E2727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a system that is in place where strict controls are required due to the proposed work being identified as having a high risk. The work shall be carried out against previously agreed safety procedures, a ‘permit-to-work' system;</w:t>
            </w:r>
          </w:p>
        </w:tc>
      </w:tr>
      <w:tr w:rsidR="00D90956" w14:paraId="3110207B" w14:textId="77777777">
        <w:tc>
          <w:tcPr>
            <w:tcW w:w="2694" w:type="dxa"/>
          </w:tcPr>
          <w:p w14:paraId="0225C23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w:t>
            </w:r>
          </w:p>
        </w:tc>
        <w:tc>
          <w:tcPr>
            <w:tcW w:w="7371" w:type="dxa"/>
          </w:tcPr>
          <w:p w14:paraId="7D97511F"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3B758C2B" w14:textId="77777777">
        <w:tc>
          <w:tcPr>
            <w:tcW w:w="2694" w:type="dxa"/>
          </w:tcPr>
          <w:p w14:paraId="52BACFC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71" w:type="dxa"/>
          </w:tcPr>
          <w:p w14:paraId="63C2990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746961EE" w14:textId="77777777">
        <w:tc>
          <w:tcPr>
            <w:tcW w:w="2694" w:type="dxa"/>
          </w:tcPr>
          <w:p w14:paraId="278F134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“Personnel”</w:t>
            </w:r>
          </w:p>
        </w:tc>
        <w:tc>
          <w:tcPr>
            <w:tcW w:w="7371" w:type="dxa"/>
          </w:tcPr>
          <w:p w14:paraId="36E46E54"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D90956" w14:paraId="52A0B749" w14:textId="77777777">
        <w:tc>
          <w:tcPr>
            <w:tcW w:w="2694" w:type="dxa"/>
            <w:vAlign w:val="center"/>
          </w:tcPr>
          <w:p w14:paraId="09DEEA5D"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“Planned Preventative Maintenance”</w:t>
            </w:r>
          </w:p>
        </w:tc>
        <w:tc>
          <w:tcPr>
            <w:tcW w:w="7371" w:type="dxa"/>
            <w:vAlign w:val="center"/>
          </w:tcPr>
          <w:p w14:paraId="47D1B1D9" w14:textId="77777777" w:rsidR="00D90956" w:rsidRDefault="00185F51">
            <w:pPr>
              <w:tabs>
                <w:tab w:val="left" w:pos="420"/>
              </w:tabs>
              <w:spacing w:before="240" w:after="240"/>
              <w:ind w:left="360" w:right="278"/>
              <w:jc w:val="both"/>
              <w:rPr>
                <w:rFonts w:ascii="Arial" w:eastAsia="Arial" w:hAnsi="Arial" w:cs="Arial"/>
                <w:sz w:val="24"/>
                <w:szCs w:val="24"/>
              </w:rPr>
            </w:pPr>
            <w:r>
              <w:rPr>
                <w:rFonts w:ascii="Arial" w:eastAsia="Arial" w:hAnsi="Arial" w:cs="Arial"/>
                <w:sz w:val="24"/>
                <w:szCs w:val="24"/>
              </w:rPr>
              <w:t>a maintenance strategy where maintenance tasks are scheduled ahead of time, to take place on a regular basis (e.g. in accordance with SFG20) irrespective of whether an asset is functioning normally or not.</w:t>
            </w:r>
          </w:p>
        </w:tc>
      </w:tr>
      <w:tr w:rsidR="00D90956" w14:paraId="07678564" w14:textId="77777777">
        <w:tc>
          <w:tcPr>
            <w:tcW w:w="2694" w:type="dxa"/>
          </w:tcPr>
          <w:p w14:paraId="7AA4431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71" w:type="dxa"/>
          </w:tcPr>
          <w:p w14:paraId="0AAF6FF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D90956" w14:paraId="0EEBE3FD" w14:textId="77777777">
        <w:tc>
          <w:tcPr>
            <w:tcW w:w="2694" w:type="dxa"/>
            <w:vAlign w:val="center"/>
          </w:tcPr>
          <w:p w14:paraId="2975105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"Previous Service Month"</w:t>
            </w:r>
          </w:p>
        </w:tc>
        <w:tc>
          <w:tcPr>
            <w:tcW w:w="7371" w:type="dxa"/>
            <w:vAlign w:val="center"/>
          </w:tcPr>
          <w:p w14:paraId="0AFFB5B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Service Month (referred to as “n-1”) immediately prior to the Service Month “n” as outlined in Call-Off Schedule 5 - Pricing Details);</w:t>
            </w:r>
          </w:p>
        </w:tc>
      </w:tr>
      <w:tr w:rsidR="00D90956" w14:paraId="0FF9155A" w14:textId="77777777">
        <w:tc>
          <w:tcPr>
            <w:tcW w:w="2694" w:type="dxa"/>
            <w:vAlign w:val="center"/>
          </w:tcPr>
          <w:p w14:paraId="0A96099A"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"Pricing Matrix"</w:t>
            </w:r>
          </w:p>
        </w:tc>
        <w:tc>
          <w:tcPr>
            <w:tcW w:w="7371" w:type="dxa"/>
            <w:vAlign w:val="center"/>
          </w:tcPr>
          <w:p w14:paraId="38FAFE4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color w:val="222222"/>
                <w:sz w:val="24"/>
                <w:szCs w:val="24"/>
                <w:highlight w:val="white"/>
              </w:rPr>
              <w:t xml:space="preserve">means </w:t>
            </w:r>
            <w:r>
              <w:rPr>
                <w:rFonts w:ascii="Arial" w:eastAsia="Arial" w:hAnsi="Arial" w:cs="Arial"/>
                <w:color w:val="222222"/>
                <w:sz w:val="24"/>
                <w:szCs w:val="24"/>
              </w:rPr>
              <w:t>the Pricing Matrix used as part of the Call Off Procedure  (as in Call-Off Schedule 5 – Pricing Details));</w:t>
            </w:r>
          </w:p>
        </w:tc>
      </w:tr>
      <w:tr w:rsidR="00D90956" w14:paraId="2609E622" w14:textId="77777777">
        <w:tc>
          <w:tcPr>
            <w:tcW w:w="2694" w:type="dxa"/>
          </w:tcPr>
          <w:p w14:paraId="61B4DC5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“Processing”</w:t>
            </w:r>
          </w:p>
        </w:tc>
        <w:tc>
          <w:tcPr>
            <w:tcW w:w="7371" w:type="dxa"/>
          </w:tcPr>
          <w:p w14:paraId="7275A36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7357AF94" w14:textId="77777777">
        <w:tc>
          <w:tcPr>
            <w:tcW w:w="2694" w:type="dxa"/>
          </w:tcPr>
          <w:p w14:paraId="64CE5FD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“Processor”</w:t>
            </w:r>
          </w:p>
        </w:tc>
        <w:tc>
          <w:tcPr>
            <w:tcW w:w="7371" w:type="dxa"/>
          </w:tcPr>
          <w:p w14:paraId="5C3EE15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3C69B6C9" w14:textId="77777777">
        <w:tc>
          <w:tcPr>
            <w:tcW w:w="2694" w:type="dxa"/>
          </w:tcPr>
          <w:p w14:paraId="05F7ACF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"Progress Meeting"</w:t>
            </w:r>
          </w:p>
        </w:tc>
        <w:tc>
          <w:tcPr>
            <w:tcW w:w="7371" w:type="dxa"/>
          </w:tcPr>
          <w:p w14:paraId="09B33E4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D90956" w14:paraId="7357F293" w14:textId="77777777">
        <w:tc>
          <w:tcPr>
            <w:tcW w:w="2694" w:type="dxa"/>
          </w:tcPr>
          <w:p w14:paraId="3E961A4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71" w:type="dxa"/>
          </w:tcPr>
          <w:p w14:paraId="1F7C01A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D90956" w14:paraId="6F06741D" w14:textId="77777777">
        <w:tc>
          <w:tcPr>
            <w:tcW w:w="2694" w:type="dxa"/>
          </w:tcPr>
          <w:p w14:paraId="1001F73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71" w:type="dxa"/>
          </w:tcPr>
          <w:p w14:paraId="36762F6F"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D90956" w14:paraId="722A9E17" w14:textId="77777777">
        <w:tc>
          <w:tcPr>
            <w:tcW w:w="2694" w:type="dxa"/>
          </w:tcPr>
          <w:p w14:paraId="65A15E9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71" w:type="dxa"/>
          </w:tcPr>
          <w:p w14:paraId="7AB7A46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D90956" w14:paraId="7A66D9E8" w14:textId="77777777">
        <w:tc>
          <w:tcPr>
            <w:tcW w:w="2694" w:type="dxa"/>
          </w:tcPr>
          <w:p w14:paraId="67FFCBA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71" w:type="dxa"/>
          </w:tcPr>
          <w:p w14:paraId="5B354DF0"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26FBE2D4" w14:textId="77777777" w:rsidR="00D90956" w:rsidRDefault="00185F51">
            <w:pPr>
              <w:numPr>
                <w:ilvl w:val="2"/>
                <w:numId w:val="14"/>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2839B569" w14:textId="77777777" w:rsidR="00D90956" w:rsidRDefault="00185F51">
            <w:pPr>
              <w:numPr>
                <w:ilvl w:val="2"/>
                <w:numId w:val="14"/>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48F1412E"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6A5E58DA"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4083868D" w14:textId="77777777" w:rsidR="00D90956" w:rsidRDefault="00185F51">
            <w:pPr>
              <w:numPr>
                <w:ilvl w:val="2"/>
                <w:numId w:val="14"/>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10CDA385" w14:textId="77777777" w:rsidR="00D90956" w:rsidRDefault="00185F51">
            <w:pPr>
              <w:numPr>
                <w:ilvl w:val="2"/>
                <w:numId w:val="14"/>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3C06E60E" w14:textId="77777777" w:rsidR="00D90956" w:rsidRDefault="00185F51">
            <w:pPr>
              <w:numPr>
                <w:ilvl w:val="2"/>
                <w:numId w:val="14"/>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6FB47E86"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D90956" w14:paraId="4725B308" w14:textId="77777777">
        <w:tc>
          <w:tcPr>
            <w:tcW w:w="2694" w:type="dxa"/>
            <w:vAlign w:val="center"/>
          </w:tcPr>
          <w:p w14:paraId="56C2839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"Project"</w:t>
            </w:r>
          </w:p>
        </w:tc>
        <w:tc>
          <w:tcPr>
            <w:tcW w:w="7371" w:type="dxa"/>
            <w:vAlign w:val="center"/>
          </w:tcPr>
          <w:p w14:paraId="7F3FA18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works that require a defined management approach in accordance with Call Off Schedule 25 and to which the Buyer is the final arbiter;</w:t>
            </w:r>
          </w:p>
        </w:tc>
      </w:tr>
      <w:tr w:rsidR="00D90956" w14:paraId="350C7746" w14:textId="77777777">
        <w:tc>
          <w:tcPr>
            <w:tcW w:w="2694" w:type="dxa"/>
            <w:vAlign w:val="center"/>
          </w:tcPr>
          <w:p w14:paraId="0C5209D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"Project Stage Uplift"</w:t>
            </w:r>
          </w:p>
        </w:tc>
        <w:tc>
          <w:tcPr>
            <w:tcW w:w="7371" w:type="dxa"/>
            <w:vAlign w:val="center"/>
          </w:tcPr>
          <w:p w14:paraId="4250E921"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maximum permitted rate of uplift as set out in the Pricing Matrix for a Project;</w:t>
            </w:r>
          </w:p>
        </w:tc>
      </w:tr>
      <w:tr w:rsidR="00D90956" w14:paraId="21F0012E" w14:textId="77777777">
        <w:tc>
          <w:tcPr>
            <w:tcW w:w="2694" w:type="dxa"/>
          </w:tcPr>
          <w:p w14:paraId="3A487B9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71" w:type="dxa"/>
          </w:tcPr>
          <w:p w14:paraId="09B939E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D90956" w14:paraId="5CD2DA3B" w14:textId="77777777">
        <w:tc>
          <w:tcPr>
            <w:tcW w:w="2694" w:type="dxa"/>
            <w:vAlign w:val="center"/>
          </w:tcPr>
          <w:p w14:paraId="0F6A118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"Reactive Maintenance Works"</w:t>
            </w:r>
          </w:p>
        </w:tc>
        <w:tc>
          <w:tcPr>
            <w:tcW w:w="7371" w:type="dxa"/>
            <w:vAlign w:val="center"/>
          </w:tcPr>
          <w:p w14:paraId="732E933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bookmarkStart w:id="11" w:name="_heading=h.2et92p0" w:colFirst="0" w:colLast="0"/>
            <w:bookmarkEnd w:id="11"/>
            <w:r>
              <w:rPr>
                <w:rFonts w:ascii="Arial" w:eastAsia="Arial" w:hAnsi="Arial" w:cs="Arial"/>
                <w:sz w:val="24"/>
                <w:szCs w:val="24"/>
              </w:rPr>
              <w:t>works arising as a result of a failure of an Asset or a service which is in the scope of the Call-Off Contract (and for the avoidance of doubt are not Small Works or Projects);</w:t>
            </w:r>
          </w:p>
        </w:tc>
      </w:tr>
      <w:tr w:rsidR="00D90956" w14:paraId="1E6866F8" w14:textId="77777777">
        <w:tc>
          <w:tcPr>
            <w:tcW w:w="2694" w:type="dxa"/>
          </w:tcPr>
          <w:p w14:paraId="200AF24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“Rating Agency”</w:t>
            </w:r>
          </w:p>
        </w:tc>
        <w:tc>
          <w:tcPr>
            <w:tcW w:w="7371" w:type="dxa"/>
          </w:tcPr>
          <w:p w14:paraId="5EFCAC3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D90956" w14:paraId="55D00A19" w14:textId="77777777">
        <w:tc>
          <w:tcPr>
            <w:tcW w:w="2694" w:type="dxa"/>
          </w:tcPr>
          <w:p w14:paraId="2643048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“RBAC”</w:t>
            </w:r>
          </w:p>
        </w:tc>
        <w:tc>
          <w:tcPr>
            <w:tcW w:w="7371" w:type="dxa"/>
          </w:tcPr>
          <w:p w14:paraId="741146A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Role-based access control (RBAC) restricts network access based on a person's role within an organization</w:t>
            </w:r>
          </w:p>
        </w:tc>
      </w:tr>
      <w:tr w:rsidR="00D90956" w14:paraId="271D1ECC" w14:textId="77777777">
        <w:tc>
          <w:tcPr>
            <w:tcW w:w="2694" w:type="dxa"/>
          </w:tcPr>
          <w:p w14:paraId="2920392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“Recall”</w:t>
            </w:r>
          </w:p>
        </w:tc>
        <w:tc>
          <w:tcPr>
            <w:tcW w:w="7371" w:type="dxa"/>
          </w:tcPr>
          <w:p w14:paraId="543C448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D90956" w14:paraId="4A498BBC" w14:textId="77777777">
        <w:tc>
          <w:tcPr>
            <w:tcW w:w="2694" w:type="dxa"/>
          </w:tcPr>
          <w:p w14:paraId="23333D5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71" w:type="dxa"/>
          </w:tcPr>
          <w:p w14:paraId="7FC52C8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D90956" w14:paraId="6C63FE17" w14:textId="77777777">
        <w:tc>
          <w:tcPr>
            <w:tcW w:w="2694" w:type="dxa"/>
          </w:tcPr>
          <w:p w14:paraId="028285B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71" w:type="dxa"/>
          </w:tcPr>
          <w:p w14:paraId="6451605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20EA3B7C" w14:textId="77777777" w:rsidR="00D90956" w:rsidRDefault="00185F51">
            <w:pPr>
              <w:numPr>
                <w:ilvl w:val="1"/>
                <w:numId w:val="2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54F8C5E8" w14:textId="77777777" w:rsidR="00D90956" w:rsidRDefault="00185F51">
            <w:pPr>
              <w:numPr>
                <w:ilvl w:val="1"/>
                <w:numId w:val="2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66CD4885" w14:textId="77777777" w:rsidR="00D90956" w:rsidRDefault="00185F51">
            <w:pPr>
              <w:numPr>
                <w:ilvl w:val="1"/>
                <w:numId w:val="2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D90956" w14:paraId="3E2A7219" w14:textId="77777777">
        <w:tc>
          <w:tcPr>
            <w:tcW w:w="2694" w:type="dxa"/>
          </w:tcPr>
          <w:p w14:paraId="5317A82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71" w:type="dxa"/>
          </w:tcPr>
          <w:p w14:paraId="4D9A93F1" w14:textId="77777777" w:rsidR="00D90956" w:rsidRDefault="00185F51">
            <w:pPr>
              <w:pBdr>
                <w:top w:val="nil"/>
                <w:left w:val="nil"/>
                <w:bottom w:val="nil"/>
                <w:right w:val="nil"/>
                <w:between w:val="nil"/>
              </w:pBdr>
              <w:tabs>
                <w:tab w:val="left" w:pos="-179"/>
              </w:tabs>
              <w:spacing w:after="120"/>
              <w:ind w:left="1275" w:right="282"/>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D90956" w14:paraId="069198E2" w14:textId="77777777">
        <w:tc>
          <w:tcPr>
            <w:tcW w:w="2694" w:type="dxa"/>
          </w:tcPr>
          <w:p w14:paraId="7D67F1F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"Regulations"</w:t>
            </w:r>
          </w:p>
        </w:tc>
        <w:tc>
          <w:tcPr>
            <w:tcW w:w="7371" w:type="dxa"/>
          </w:tcPr>
          <w:p w14:paraId="17BB46A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D90956" w14:paraId="3A889625" w14:textId="77777777">
        <w:tc>
          <w:tcPr>
            <w:tcW w:w="2694" w:type="dxa"/>
          </w:tcPr>
          <w:p w14:paraId="1AA2DC6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71" w:type="dxa"/>
          </w:tcPr>
          <w:p w14:paraId="74ED83F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6ECE8A2" w14:textId="77777777" w:rsidR="00D90956" w:rsidRDefault="00185F51">
            <w:pPr>
              <w:numPr>
                <w:ilvl w:val="1"/>
                <w:numId w:val="7"/>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59A56E62" w14:textId="77777777" w:rsidR="00D90956" w:rsidRDefault="00185F51">
            <w:pPr>
              <w:numPr>
                <w:ilvl w:val="1"/>
                <w:numId w:val="7"/>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D90956" w14:paraId="5BDDEE3E" w14:textId="77777777">
        <w:tc>
          <w:tcPr>
            <w:tcW w:w="2694" w:type="dxa"/>
          </w:tcPr>
          <w:p w14:paraId="24F4DC8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71" w:type="dxa"/>
          </w:tcPr>
          <w:p w14:paraId="60BD5E7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D90956" w14:paraId="2AEDA920" w14:textId="77777777">
        <w:tc>
          <w:tcPr>
            <w:tcW w:w="2694" w:type="dxa"/>
          </w:tcPr>
          <w:p w14:paraId="6C09B9C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71" w:type="dxa"/>
          </w:tcPr>
          <w:p w14:paraId="4C281D45" w14:textId="77777777" w:rsidR="00D90956" w:rsidRDefault="00185F51">
            <w:pPr>
              <w:numPr>
                <w:ilvl w:val="1"/>
                <w:numId w:val="16"/>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39F7B928" w14:textId="77777777" w:rsidR="00D90956" w:rsidRDefault="00185F51">
            <w:pPr>
              <w:numPr>
                <w:ilvl w:val="1"/>
                <w:numId w:val="16"/>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F870C3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D90956" w14:paraId="52313DC3" w14:textId="77777777">
        <w:tc>
          <w:tcPr>
            <w:tcW w:w="2694" w:type="dxa"/>
          </w:tcPr>
          <w:p w14:paraId="7A7DFB2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71" w:type="dxa"/>
          </w:tcPr>
          <w:p w14:paraId="4E19E34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D90956" w14:paraId="7CB858A9" w14:textId="77777777">
        <w:tc>
          <w:tcPr>
            <w:tcW w:w="2694" w:type="dxa"/>
          </w:tcPr>
          <w:p w14:paraId="461B3E4D"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71" w:type="dxa"/>
          </w:tcPr>
          <w:p w14:paraId="1E31EF5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D90956" w14:paraId="58C445E4" w14:textId="77777777">
        <w:tc>
          <w:tcPr>
            <w:tcW w:w="2694" w:type="dxa"/>
          </w:tcPr>
          <w:p w14:paraId="472E4D1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t>“Relevant Transfer”</w:t>
            </w:r>
          </w:p>
        </w:tc>
        <w:tc>
          <w:tcPr>
            <w:tcW w:w="7371" w:type="dxa"/>
          </w:tcPr>
          <w:p w14:paraId="31BA726B" w14:textId="646B1B80" w:rsidR="00D90956" w:rsidRDefault="00185F51" w:rsidP="007E0C7C">
            <w:pPr>
              <w:tabs>
                <w:tab w:val="left" w:pos="1985"/>
                <w:tab w:val="left" w:pos="2127"/>
              </w:tabs>
              <w:spacing w:after="120"/>
              <w:ind w:left="284" w:right="282"/>
              <w:jc w:val="both"/>
              <w:rPr>
                <w:rFonts w:ascii="Arial" w:eastAsia="Arial" w:hAnsi="Arial" w:cs="Arial"/>
                <w:strike/>
                <w:color w:val="000000"/>
                <w:sz w:val="24"/>
                <w:szCs w:val="24"/>
              </w:rPr>
            </w:pPr>
            <w:r>
              <w:rPr>
                <w:rFonts w:ascii="Arial" w:eastAsia="Arial" w:hAnsi="Arial" w:cs="Arial"/>
              </w:rPr>
              <w:t>a transfer of employment to which the Employment Regulations apply</w:t>
            </w:r>
          </w:p>
        </w:tc>
      </w:tr>
      <w:tr w:rsidR="00D90956" w14:paraId="03D268DB" w14:textId="77777777">
        <w:tc>
          <w:tcPr>
            <w:tcW w:w="2694" w:type="dxa"/>
          </w:tcPr>
          <w:p w14:paraId="7CBA1F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"Reminder Notice"</w:t>
            </w:r>
          </w:p>
        </w:tc>
        <w:tc>
          <w:tcPr>
            <w:tcW w:w="7371" w:type="dxa"/>
          </w:tcPr>
          <w:p w14:paraId="0B5981BA" w14:textId="77777777" w:rsidR="00D90956" w:rsidRDefault="00185F51">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D90956" w14:paraId="7E18B85E" w14:textId="77777777">
        <w:tc>
          <w:tcPr>
            <w:tcW w:w="2694" w:type="dxa"/>
          </w:tcPr>
          <w:p w14:paraId="3A0D5A7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Deliverables or Replacement Services"</w:t>
            </w:r>
          </w:p>
        </w:tc>
        <w:tc>
          <w:tcPr>
            <w:tcW w:w="7371" w:type="dxa"/>
          </w:tcPr>
          <w:p w14:paraId="2D53ACCB" w14:textId="77777777" w:rsidR="00D90956" w:rsidRDefault="00185F51">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deliverables/Services which are substantially similar to any of the Deliverables and which the Buyer receives in substitution for any of the Deliverables following the Call-Off Expiry Date, whether those Services are provided by the Buyer internally and/or by any third party;</w:t>
            </w:r>
          </w:p>
        </w:tc>
      </w:tr>
      <w:tr w:rsidR="00D90956" w14:paraId="24E08A76" w14:textId="77777777">
        <w:tc>
          <w:tcPr>
            <w:tcW w:w="2694" w:type="dxa"/>
            <w:vAlign w:val="center"/>
          </w:tcPr>
          <w:p w14:paraId="1565D91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“Replacement Equipment”</w:t>
            </w:r>
          </w:p>
        </w:tc>
        <w:tc>
          <w:tcPr>
            <w:tcW w:w="7371" w:type="dxa"/>
            <w:vAlign w:val="center"/>
          </w:tcPr>
          <w:p w14:paraId="7F45692B" w14:textId="77777777" w:rsidR="00D90956" w:rsidRDefault="00185F51">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sz w:val="24"/>
                <w:szCs w:val="24"/>
              </w:rPr>
              <w:t>plant, assets, spare parts, equipment, replacement parts, materials and other items (whether or not reused or reconditioned) supplied by the Supplier in order to deliver the required Services and as outlined in the Specification;;</w:t>
            </w:r>
          </w:p>
        </w:tc>
      </w:tr>
      <w:tr w:rsidR="00D90956" w14:paraId="74AB280B" w14:textId="77777777">
        <w:tc>
          <w:tcPr>
            <w:tcW w:w="2694" w:type="dxa"/>
          </w:tcPr>
          <w:p w14:paraId="552CA3D0"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71" w:type="dxa"/>
          </w:tcPr>
          <w:p w14:paraId="2C953F5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D90956" w14:paraId="7C58DF2D" w14:textId="77777777">
        <w:tc>
          <w:tcPr>
            <w:tcW w:w="2694" w:type="dxa"/>
          </w:tcPr>
          <w:p w14:paraId="652C267B"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71" w:type="dxa"/>
          </w:tcPr>
          <w:p w14:paraId="69CD198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D90956" w14:paraId="31B822CE" w14:textId="77777777">
        <w:tc>
          <w:tcPr>
            <w:tcW w:w="2694" w:type="dxa"/>
            <w:vAlign w:val="center"/>
          </w:tcPr>
          <w:p w14:paraId="7876B5B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"Resource Rates"</w:t>
            </w:r>
          </w:p>
        </w:tc>
        <w:tc>
          <w:tcPr>
            <w:tcW w:w="7371" w:type="dxa"/>
            <w:vAlign w:val="center"/>
          </w:tcPr>
          <w:p w14:paraId="7D25E46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those rates provided by the Supplier and as set out in the Pricing Matrix;</w:t>
            </w:r>
          </w:p>
        </w:tc>
      </w:tr>
      <w:tr w:rsidR="00D90956" w14:paraId="3D5CF6C9" w14:textId="77777777">
        <w:tc>
          <w:tcPr>
            <w:tcW w:w="2694" w:type="dxa"/>
          </w:tcPr>
          <w:p w14:paraId="001BF52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71" w:type="dxa"/>
          </w:tcPr>
          <w:p w14:paraId="4B98BB7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D90956" w14:paraId="7B12BD08" w14:textId="77777777">
        <w:tc>
          <w:tcPr>
            <w:tcW w:w="2694" w:type="dxa"/>
          </w:tcPr>
          <w:p w14:paraId="32745F7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71" w:type="dxa"/>
          </w:tcPr>
          <w:p w14:paraId="357F98B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D90956" w14:paraId="6E54DCC9" w14:textId="77777777">
        <w:tc>
          <w:tcPr>
            <w:tcW w:w="2694" w:type="dxa"/>
          </w:tcPr>
          <w:p w14:paraId="18EAD53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“RTI”</w:t>
            </w:r>
          </w:p>
        </w:tc>
        <w:tc>
          <w:tcPr>
            <w:tcW w:w="7371" w:type="dxa"/>
          </w:tcPr>
          <w:p w14:paraId="04027BD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Real Time Information</w:t>
            </w:r>
          </w:p>
        </w:tc>
      </w:tr>
      <w:tr w:rsidR="00D90956" w14:paraId="2159F6C7" w14:textId="77777777">
        <w:tc>
          <w:tcPr>
            <w:tcW w:w="2694" w:type="dxa"/>
          </w:tcPr>
          <w:p w14:paraId="48A6FF6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71" w:type="dxa"/>
          </w:tcPr>
          <w:p w14:paraId="49A02FE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D90956" w14:paraId="3D80C0ED" w14:textId="77777777">
        <w:tc>
          <w:tcPr>
            <w:tcW w:w="2694" w:type="dxa"/>
            <w:vAlign w:val="center"/>
          </w:tcPr>
          <w:p w14:paraId="135CE59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“Schedules"</w:t>
            </w:r>
          </w:p>
        </w:tc>
        <w:tc>
          <w:tcPr>
            <w:tcW w:w="7371" w:type="dxa"/>
            <w:vAlign w:val="center"/>
          </w:tcPr>
          <w:p w14:paraId="6DDFCB2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can mean a Framework, Call-Off or Joint Schedule that contain the terms and conditions;</w:t>
            </w:r>
          </w:p>
        </w:tc>
      </w:tr>
      <w:tr w:rsidR="00D90956" w14:paraId="46B04AB4" w14:textId="77777777">
        <w:tc>
          <w:tcPr>
            <w:tcW w:w="2694" w:type="dxa"/>
            <w:vAlign w:val="center"/>
          </w:tcPr>
          <w:p w14:paraId="0F761B6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“Schedule of Rates</w:t>
            </w:r>
            <w:r>
              <w:rPr>
                <w:rFonts w:ascii="Arial" w:eastAsia="Arial" w:hAnsi="Arial" w:cs="Arial"/>
                <w:sz w:val="24"/>
                <w:szCs w:val="24"/>
              </w:rPr>
              <w:t>”</w:t>
            </w:r>
          </w:p>
        </w:tc>
        <w:tc>
          <w:tcPr>
            <w:tcW w:w="7371" w:type="dxa"/>
            <w:vAlign w:val="center"/>
          </w:tcPr>
          <w:p w14:paraId="41059642"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Labour rates are captured in Framework Schedule 3 – (Framework Pricing) and detail the hourly rates for the different trades the </w:t>
            </w:r>
            <w:r>
              <w:rPr>
                <w:rFonts w:ascii="Arial" w:eastAsia="Arial" w:hAnsi="Arial" w:cs="Arial"/>
                <w:sz w:val="24"/>
                <w:szCs w:val="24"/>
              </w:rPr>
              <w:t>Supplier</w:t>
            </w:r>
            <w:r>
              <w:rPr>
                <w:rFonts w:ascii="Arial" w:eastAsia="Arial" w:hAnsi="Arial" w:cs="Arial"/>
                <w:color w:val="000000"/>
                <w:sz w:val="24"/>
                <w:szCs w:val="24"/>
              </w:rPr>
              <w:t xml:space="preserve"> will use to fulfil all </w:t>
            </w:r>
            <w:r>
              <w:rPr>
                <w:rFonts w:ascii="Arial" w:eastAsia="Arial" w:hAnsi="Arial" w:cs="Arial"/>
                <w:sz w:val="24"/>
                <w:szCs w:val="24"/>
              </w:rPr>
              <w:t>Core</w:t>
            </w:r>
            <w:r>
              <w:rPr>
                <w:rFonts w:ascii="Arial" w:eastAsia="Arial" w:hAnsi="Arial" w:cs="Arial"/>
                <w:color w:val="000000"/>
                <w:sz w:val="24"/>
                <w:szCs w:val="24"/>
              </w:rPr>
              <w:t xml:space="preserve"> Services, and </w:t>
            </w:r>
            <w:r>
              <w:rPr>
                <w:rFonts w:ascii="Arial" w:eastAsia="Arial" w:hAnsi="Arial" w:cs="Arial"/>
                <w:sz w:val="24"/>
                <w:szCs w:val="24"/>
              </w:rPr>
              <w:t>Additional</w:t>
            </w:r>
            <w:r>
              <w:rPr>
                <w:rFonts w:ascii="Arial" w:eastAsia="Arial" w:hAnsi="Arial" w:cs="Arial"/>
                <w:color w:val="000000"/>
                <w:sz w:val="24"/>
                <w:szCs w:val="24"/>
              </w:rPr>
              <w:t xml:space="preserve"> </w:t>
            </w:r>
            <w:r>
              <w:rPr>
                <w:rFonts w:ascii="Arial" w:eastAsia="Arial" w:hAnsi="Arial" w:cs="Arial"/>
                <w:sz w:val="24"/>
                <w:szCs w:val="24"/>
              </w:rPr>
              <w:t>Services</w:t>
            </w:r>
            <w:r>
              <w:rPr>
                <w:rFonts w:ascii="Arial" w:eastAsia="Arial" w:hAnsi="Arial" w:cs="Arial"/>
                <w:color w:val="000000"/>
                <w:sz w:val="24"/>
                <w:szCs w:val="24"/>
              </w:rPr>
              <w:t xml:space="preserve"> indicated. Labour rates should be proportionally linked to the Standard Service </w:t>
            </w:r>
            <w:r>
              <w:rPr>
                <w:rFonts w:ascii="Arial" w:eastAsia="Arial" w:hAnsi="Arial" w:cs="Arial"/>
                <w:sz w:val="24"/>
                <w:szCs w:val="24"/>
              </w:rPr>
              <w:t>r</w:t>
            </w:r>
            <w:r>
              <w:rPr>
                <w:rFonts w:ascii="Arial" w:eastAsia="Arial" w:hAnsi="Arial" w:cs="Arial"/>
                <w:color w:val="000000"/>
                <w:sz w:val="24"/>
                <w:szCs w:val="24"/>
              </w:rPr>
              <w:t>ates.</w:t>
            </w:r>
          </w:p>
          <w:p w14:paraId="0E622E08"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Labour rates should take into account all costs involved in supplying that trade, other than Management and Corporate Overhead, and Profit, which will be added when the rates are used.</w:t>
            </w:r>
          </w:p>
          <w:p w14:paraId="678CAA64"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14:paraId="1A71B518"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Operational Working Hours</w:t>
            </w:r>
          </w:p>
          <w:p w14:paraId="173D0960"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Monday to Friday and Saturday am</w:t>
            </w:r>
          </w:p>
          <w:p w14:paraId="1B9D6F6F"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Saturday pm, Sunday and Bank Holidays</w:t>
            </w:r>
          </w:p>
          <w:p w14:paraId="01C8BAB6" w14:textId="77777777" w:rsidR="00D90956" w:rsidRDefault="00D90956">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14:paraId="0CAF933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Labour rates will be used, where appropriate, to price Billable Works, Projects, Small Works, and where Work Orders exceed the Inclusive Repairs Threshold, where the works is to be completed by the labour resources allocated to the Call Off Contract.</w:t>
            </w:r>
          </w:p>
        </w:tc>
      </w:tr>
      <w:tr w:rsidR="00D90956" w14:paraId="708C58BF" w14:textId="77777777">
        <w:tc>
          <w:tcPr>
            <w:tcW w:w="2694" w:type="dxa"/>
          </w:tcPr>
          <w:p w14:paraId="742EA70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71" w:type="dxa"/>
          </w:tcPr>
          <w:p w14:paraId="3CCBC68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D90956" w14:paraId="270EE263" w14:textId="77777777">
        <w:tc>
          <w:tcPr>
            <w:tcW w:w="2694" w:type="dxa"/>
          </w:tcPr>
          <w:p w14:paraId="53359591"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71" w:type="dxa"/>
          </w:tcPr>
          <w:p w14:paraId="49B7B105" w14:textId="7C0AE4F9"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Buyer's security policy, referred to in the Order Form, in force as at the </w:t>
            </w:r>
            <w:r w:rsidRPr="007E0C7C">
              <w:rPr>
                <w:rFonts w:ascii="Arial" w:eastAsia="Arial" w:hAnsi="Arial" w:cs="Arial"/>
                <w:color w:val="000000"/>
                <w:sz w:val="24"/>
                <w:szCs w:val="24"/>
              </w:rPr>
              <w:t>Effective Date</w:t>
            </w:r>
            <w:r>
              <w:rPr>
                <w:rFonts w:ascii="Arial" w:eastAsia="Arial" w:hAnsi="Arial" w:cs="Arial"/>
                <w:color w:val="000000"/>
                <w:sz w:val="24"/>
                <w:szCs w:val="24"/>
              </w:rPr>
              <w:t xml:space="preserve"> (a copy of which has been supplied to the Supplier), as updated from time to time and notified to the Supplier;</w:t>
            </w:r>
          </w:p>
        </w:tc>
      </w:tr>
      <w:tr w:rsidR="00D90956" w14:paraId="7E252152" w14:textId="77777777">
        <w:tc>
          <w:tcPr>
            <w:tcW w:w="2694" w:type="dxa"/>
          </w:tcPr>
          <w:p w14:paraId="010FB41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71" w:type="dxa"/>
          </w:tcPr>
          <w:p w14:paraId="527C1B0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D90956" w14:paraId="4D716F10" w14:textId="77777777">
        <w:tc>
          <w:tcPr>
            <w:tcW w:w="2694" w:type="dxa"/>
          </w:tcPr>
          <w:p w14:paraId="717C4D4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71" w:type="dxa"/>
          </w:tcPr>
          <w:p w14:paraId="48ADC52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90956" w14:paraId="3BAB51DE" w14:textId="77777777">
        <w:tc>
          <w:tcPr>
            <w:tcW w:w="2694" w:type="dxa"/>
            <w:vAlign w:val="center"/>
          </w:tcPr>
          <w:p w14:paraId="13BEA9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 Plan”</w:t>
            </w:r>
          </w:p>
        </w:tc>
        <w:tc>
          <w:tcPr>
            <w:tcW w:w="7371" w:type="dxa"/>
            <w:vAlign w:val="center"/>
          </w:tcPr>
          <w:p w14:paraId="1473DB2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plan to be provided by the Supplier which details how the Supplier will deliver all elements of the Services required under the Contract</w:t>
            </w:r>
          </w:p>
        </w:tc>
      </w:tr>
      <w:tr w:rsidR="00D90956" w14:paraId="5E078E43" w14:textId="77777777">
        <w:tc>
          <w:tcPr>
            <w:tcW w:w="2694" w:type="dxa"/>
          </w:tcPr>
          <w:p w14:paraId="36707E4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“Service Credits”</w:t>
            </w:r>
          </w:p>
        </w:tc>
        <w:tc>
          <w:tcPr>
            <w:tcW w:w="7371" w:type="dxa"/>
          </w:tcPr>
          <w:p w14:paraId="14AA22D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sums payable in respect of the failure by the Contractor to meet one or more Key Performance Indicator;</w:t>
            </w:r>
          </w:p>
        </w:tc>
      </w:tr>
      <w:tr w:rsidR="00D90956" w14:paraId="2FA4E432" w14:textId="77777777">
        <w:tc>
          <w:tcPr>
            <w:tcW w:w="2694" w:type="dxa"/>
          </w:tcPr>
          <w:p w14:paraId="62E9795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w:t>
            </w:r>
          </w:p>
        </w:tc>
        <w:tc>
          <w:tcPr>
            <w:tcW w:w="7371" w:type="dxa"/>
          </w:tcPr>
          <w:p w14:paraId="31E169C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act of delivering a service to customers;</w:t>
            </w:r>
          </w:p>
        </w:tc>
      </w:tr>
      <w:tr w:rsidR="00D90956" w14:paraId="021AF9A0" w14:textId="77777777">
        <w:tc>
          <w:tcPr>
            <w:tcW w:w="2694" w:type="dxa"/>
          </w:tcPr>
          <w:p w14:paraId="63D31C44"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sz w:val="24"/>
                <w:szCs w:val="24"/>
              </w:rPr>
              <w:t>“Service Level Agreement"</w:t>
            </w:r>
          </w:p>
        </w:tc>
        <w:tc>
          <w:tcPr>
            <w:tcW w:w="7371" w:type="dxa"/>
          </w:tcPr>
          <w:p w14:paraId="34F04F3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An agreement between the Supplier of a Service and its customer, which quantifies the minimum Service Levels which meets business needs</w:t>
            </w:r>
          </w:p>
        </w:tc>
      </w:tr>
      <w:tr w:rsidR="00D90956" w14:paraId="21F7A295" w14:textId="77777777">
        <w:tc>
          <w:tcPr>
            <w:tcW w:w="2694" w:type="dxa"/>
            <w:vAlign w:val="center"/>
          </w:tcPr>
          <w:p w14:paraId="5FE71509"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Month"</w:t>
            </w:r>
          </w:p>
        </w:tc>
        <w:tc>
          <w:tcPr>
            <w:tcW w:w="7371" w:type="dxa"/>
            <w:vAlign w:val="center"/>
          </w:tcPr>
          <w:p w14:paraId="3F1EF70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each monthly period (or part of a Month at the start and end of the Contract Period where applicable) during which Deliverables are provided by the Supplier;</w:t>
            </w:r>
          </w:p>
        </w:tc>
      </w:tr>
      <w:tr w:rsidR="00D90956" w14:paraId="46A2F5C2" w14:textId="77777777">
        <w:tc>
          <w:tcPr>
            <w:tcW w:w="2694" w:type="dxa"/>
          </w:tcPr>
          <w:p w14:paraId="3424FC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Period"</w:t>
            </w:r>
          </w:p>
        </w:tc>
        <w:tc>
          <w:tcPr>
            <w:tcW w:w="7371" w:type="dxa"/>
          </w:tcPr>
          <w:p w14:paraId="09EC3B1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90956" w14:paraId="51576D70" w14:textId="77777777">
        <w:tc>
          <w:tcPr>
            <w:tcW w:w="2694" w:type="dxa"/>
          </w:tcPr>
          <w:p w14:paraId="74BAF39B"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"Services"</w:t>
            </w:r>
          </w:p>
        </w:tc>
        <w:tc>
          <w:tcPr>
            <w:tcW w:w="7371" w:type="dxa"/>
          </w:tcPr>
          <w:p w14:paraId="4320833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D90956" w14:paraId="5AE5B98A" w14:textId="77777777">
        <w:tc>
          <w:tcPr>
            <w:tcW w:w="2694" w:type="dxa"/>
          </w:tcPr>
          <w:p w14:paraId="220E36F5"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Requirement Filter”</w:t>
            </w:r>
          </w:p>
        </w:tc>
        <w:tc>
          <w:tcPr>
            <w:tcW w:w="7371" w:type="dxa"/>
          </w:tcPr>
          <w:p w14:paraId="165F239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filters that include: Service, Estimated Contract Cost, and Geographical Boundaries that the Buyer will use to create a Supplier shortlist;</w:t>
            </w:r>
          </w:p>
        </w:tc>
      </w:tr>
      <w:tr w:rsidR="00D90956" w14:paraId="54A443B1" w14:textId="77777777">
        <w:tc>
          <w:tcPr>
            <w:tcW w:w="2694" w:type="dxa"/>
          </w:tcPr>
          <w:p w14:paraId="3A0BC0DE"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71" w:type="dxa"/>
          </w:tcPr>
          <w:p w14:paraId="6FF2E76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D90956" w14:paraId="064AC48E" w14:textId="77777777">
        <w:tc>
          <w:tcPr>
            <w:tcW w:w="2694" w:type="dxa"/>
          </w:tcPr>
          <w:p w14:paraId="3CC5BF15" w14:textId="77777777" w:rsidR="00D90956" w:rsidRDefault="00185F51">
            <w:pPr>
              <w:pBdr>
                <w:top w:val="nil"/>
                <w:left w:val="nil"/>
                <w:bottom w:val="nil"/>
                <w:right w:val="nil"/>
                <w:between w:val="nil"/>
              </w:pBdr>
              <w:spacing w:after="120"/>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71" w:type="dxa"/>
          </w:tcPr>
          <w:p w14:paraId="0940640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D90956" w14:paraId="6BB4A57D" w14:textId="77777777">
        <w:tc>
          <w:tcPr>
            <w:tcW w:w="2694" w:type="dxa"/>
          </w:tcPr>
          <w:p w14:paraId="7D6324C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“Shared Services Strategy”</w:t>
            </w:r>
          </w:p>
        </w:tc>
        <w:tc>
          <w:tcPr>
            <w:tcW w:w="7371" w:type="dxa"/>
          </w:tcPr>
          <w:p w14:paraId="5F877C33" w14:textId="77777777" w:rsidR="00D90956" w:rsidRDefault="00185F51">
            <w:pPr>
              <w:ind w:left="284" w:right="282"/>
              <w:rPr>
                <w:rFonts w:ascii="Arial" w:eastAsia="Arial" w:hAnsi="Arial" w:cs="Arial"/>
                <w:sz w:val="24"/>
                <w:szCs w:val="24"/>
              </w:rPr>
            </w:pPr>
            <w:r>
              <w:rPr>
                <w:rFonts w:ascii="Arial" w:eastAsia="Arial" w:hAnsi="Arial" w:cs="Arial"/>
                <w:color w:val="202124"/>
                <w:sz w:val="24"/>
                <w:szCs w:val="24"/>
                <w:highlight w:val="white"/>
              </w:rPr>
              <w:t xml:space="preserve">a delivery model for the effective and efficient delivery of non-core </w:t>
            </w:r>
            <w:r>
              <w:rPr>
                <w:rFonts w:ascii="Arial" w:eastAsia="Arial" w:hAnsi="Arial" w:cs="Arial"/>
                <w:b/>
                <w:color w:val="202124"/>
                <w:sz w:val="24"/>
                <w:szCs w:val="24"/>
                <w:highlight w:val="white"/>
              </w:rPr>
              <w:t>Services</w:t>
            </w:r>
            <w:r>
              <w:rPr>
                <w:rFonts w:ascii="Arial" w:eastAsia="Arial" w:hAnsi="Arial" w:cs="Arial"/>
                <w:color w:val="202124"/>
                <w:sz w:val="24"/>
                <w:szCs w:val="24"/>
                <w:highlight w:val="white"/>
              </w:rPr>
              <w:t xml:space="preserve"> to the business. It employs a specialist team, geographically unconstrained, and focuses on the requirements of the customer</w:t>
            </w:r>
          </w:p>
        </w:tc>
      </w:tr>
      <w:tr w:rsidR="00D90956" w14:paraId="479D0F5B" w14:textId="77777777">
        <w:tc>
          <w:tcPr>
            <w:tcW w:w="2694" w:type="dxa"/>
          </w:tcPr>
          <w:p w14:paraId="0C3D9B0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"Sites"</w:t>
            </w:r>
          </w:p>
        </w:tc>
        <w:tc>
          <w:tcPr>
            <w:tcW w:w="7371" w:type="dxa"/>
          </w:tcPr>
          <w:p w14:paraId="3270531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1A30C8D7"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w:t>
            </w:r>
          </w:p>
          <w:p w14:paraId="5C95A304"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739BB228"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those premises at which any of the Supplier’s equipment or any part of the Supplier’s systems used in the performance of the Contract </w:t>
            </w:r>
          </w:p>
          <w:p w14:paraId="370EA357"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located (where any part of the Deliverables provided falls within Call-Off Schedule 6 (ICT Services));</w:t>
            </w:r>
          </w:p>
        </w:tc>
      </w:tr>
      <w:tr w:rsidR="00D90956" w14:paraId="34BF71E5" w14:textId="77777777">
        <w:tc>
          <w:tcPr>
            <w:tcW w:w="2694" w:type="dxa"/>
            <w:vAlign w:val="center"/>
          </w:tcPr>
          <w:p w14:paraId="6F62EC3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sz w:val="24"/>
                <w:szCs w:val="24"/>
              </w:rPr>
              <w:lastRenderedPageBreak/>
              <w:t>"</w:t>
            </w:r>
            <w:r>
              <w:rPr>
                <w:rFonts w:ascii="Arial" w:eastAsia="Arial" w:hAnsi="Arial" w:cs="Arial"/>
                <w:b/>
                <w:sz w:val="24"/>
                <w:szCs w:val="24"/>
              </w:rPr>
              <w:t>Small Works"</w:t>
            </w:r>
          </w:p>
        </w:tc>
        <w:tc>
          <w:tcPr>
            <w:tcW w:w="7371" w:type="dxa"/>
            <w:vAlign w:val="center"/>
          </w:tcPr>
          <w:p w14:paraId="410D4290"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elective works which are not Projects;</w:t>
            </w:r>
          </w:p>
        </w:tc>
      </w:tr>
      <w:tr w:rsidR="00D90956" w14:paraId="402E76B9" w14:textId="77777777">
        <w:trPr>
          <w:trHeight w:val="945"/>
        </w:trPr>
        <w:tc>
          <w:tcPr>
            <w:tcW w:w="2694" w:type="dxa"/>
          </w:tcPr>
          <w:p w14:paraId="2F812107" w14:textId="77777777" w:rsidR="00D90956" w:rsidRDefault="00185F51">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color w:val="000000"/>
                <w:sz w:val="24"/>
                <w:szCs w:val="24"/>
              </w:rPr>
              <w:t>"SME"</w:t>
            </w:r>
          </w:p>
        </w:tc>
        <w:tc>
          <w:tcPr>
            <w:tcW w:w="7371" w:type="dxa"/>
          </w:tcPr>
          <w:p w14:paraId="07DCE44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D90956" w14:paraId="07F07823" w14:textId="77777777">
        <w:trPr>
          <w:trHeight w:val="945"/>
        </w:trPr>
        <w:tc>
          <w:tcPr>
            <w:tcW w:w="2694" w:type="dxa"/>
          </w:tcPr>
          <w:p w14:paraId="518D658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"Special Terms"</w:t>
            </w:r>
          </w:p>
        </w:tc>
        <w:tc>
          <w:tcPr>
            <w:tcW w:w="7371" w:type="dxa"/>
          </w:tcPr>
          <w:p w14:paraId="387BFEF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D90956" w14:paraId="10F62D86" w14:textId="77777777">
        <w:trPr>
          <w:trHeight w:val="945"/>
        </w:trPr>
        <w:tc>
          <w:tcPr>
            <w:tcW w:w="2694" w:type="dxa"/>
          </w:tcPr>
          <w:p w14:paraId="2F3D919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71" w:type="dxa"/>
          </w:tcPr>
          <w:p w14:paraId="6807DEA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D90956" w14:paraId="28AAC01B" w14:textId="77777777">
        <w:trPr>
          <w:trHeight w:val="945"/>
        </w:trPr>
        <w:tc>
          <w:tcPr>
            <w:tcW w:w="2694" w:type="dxa"/>
          </w:tcPr>
          <w:p w14:paraId="4F3D3AA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"Specification"</w:t>
            </w:r>
          </w:p>
        </w:tc>
        <w:tc>
          <w:tcPr>
            <w:tcW w:w="7371" w:type="dxa"/>
          </w:tcPr>
          <w:p w14:paraId="7AFF213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D90956" w14:paraId="64944D1D" w14:textId="77777777">
        <w:tc>
          <w:tcPr>
            <w:tcW w:w="2694" w:type="dxa"/>
          </w:tcPr>
          <w:p w14:paraId="3998A66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 Levels”</w:t>
            </w:r>
          </w:p>
        </w:tc>
        <w:tc>
          <w:tcPr>
            <w:tcW w:w="7371" w:type="dxa"/>
          </w:tcPr>
          <w:p w14:paraId="303461AF"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all Service Levels other than those designated as Key Performance Indicators</w:t>
            </w:r>
          </w:p>
        </w:tc>
      </w:tr>
      <w:tr w:rsidR="00D90956" w14:paraId="273F833A" w14:textId="77777777">
        <w:tc>
          <w:tcPr>
            <w:tcW w:w="2694" w:type="dxa"/>
          </w:tcPr>
          <w:p w14:paraId="285F49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"Standards"</w:t>
            </w:r>
          </w:p>
        </w:tc>
        <w:tc>
          <w:tcPr>
            <w:tcW w:w="7371" w:type="dxa"/>
          </w:tcPr>
          <w:p w14:paraId="6AA1BEE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w:t>
            </w:r>
          </w:p>
          <w:p w14:paraId="5A25D4BF"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85F96FF"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0630BF42"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1725FBF4"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D90956" w14:paraId="3B2B46C8" w14:textId="77777777">
        <w:tc>
          <w:tcPr>
            <w:tcW w:w="2694" w:type="dxa"/>
            <w:vAlign w:val="center"/>
          </w:tcPr>
          <w:p w14:paraId="4A9A1BC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w:t>
            </w:r>
          </w:p>
        </w:tc>
        <w:tc>
          <w:tcPr>
            <w:tcW w:w="7371" w:type="dxa"/>
            <w:vAlign w:val="center"/>
          </w:tcPr>
          <w:p w14:paraId="152803E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delivery of the service to the defined standard as per Framework Schedule 1 – Specification.</w:t>
            </w:r>
          </w:p>
        </w:tc>
      </w:tr>
      <w:tr w:rsidR="00D90956" w14:paraId="23910763" w14:textId="77777777">
        <w:tc>
          <w:tcPr>
            <w:tcW w:w="2694" w:type="dxa"/>
          </w:tcPr>
          <w:p w14:paraId="06473C8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371" w:type="dxa"/>
          </w:tcPr>
          <w:p w14:paraId="75E9C0A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D90956" w14:paraId="18D6148A" w14:textId="77777777">
        <w:tc>
          <w:tcPr>
            <w:tcW w:w="2694" w:type="dxa"/>
          </w:tcPr>
          <w:p w14:paraId="0DD51B5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"Statement of Requirements"</w:t>
            </w:r>
          </w:p>
        </w:tc>
        <w:tc>
          <w:tcPr>
            <w:tcW w:w="7371" w:type="dxa"/>
          </w:tcPr>
          <w:p w14:paraId="438678D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D90956" w14:paraId="4130E903" w14:textId="77777777">
        <w:tc>
          <w:tcPr>
            <w:tcW w:w="2694" w:type="dxa"/>
          </w:tcPr>
          <w:p w14:paraId="67DEBC7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371" w:type="dxa"/>
          </w:tcPr>
          <w:p w14:paraId="66F0DBE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D90956" w14:paraId="1ABC139E" w14:textId="77777777">
        <w:tc>
          <w:tcPr>
            <w:tcW w:w="2694" w:type="dxa"/>
          </w:tcPr>
          <w:p w14:paraId="0C67E57F"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w:t>
            </w:r>
          </w:p>
        </w:tc>
        <w:tc>
          <w:tcPr>
            <w:tcW w:w="7371" w:type="dxa"/>
          </w:tcPr>
          <w:p w14:paraId="08DBDE9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75F78CE3" w14:textId="77777777" w:rsidR="00D90956" w:rsidRDefault="00185F51">
            <w:pPr>
              <w:numPr>
                <w:ilvl w:val="0"/>
                <w:numId w:val="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34E4E397" w14:textId="77777777" w:rsidR="00D90956" w:rsidRDefault="00185F51">
            <w:pPr>
              <w:numPr>
                <w:ilvl w:val="0"/>
                <w:numId w:val="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4BFBECE6" w14:textId="77777777" w:rsidR="00D90956" w:rsidRDefault="00185F51">
            <w:pPr>
              <w:numPr>
                <w:ilvl w:val="0"/>
                <w:numId w:val="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D90956" w14:paraId="1E4D6768" w14:textId="77777777">
        <w:tc>
          <w:tcPr>
            <w:tcW w:w="2694" w:type="dxa"/>
          </w:tcPr>
          <w:p w14:paraId="3C4942A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371" w:type="dxa"/>
          </w:tcPr>
          <w:p w14:paraId="618DF71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D90956" w14:paraId="6C45B3ED" w14:textId="77777777">
        <w:tc>
          <w:tcPr>
            <w:tcW w:w="2694" w:type="dxa"/>
          </w:tcPr>
          <w:p w14:paraId="1A84B4C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“Subject Access Request”</w:t>
            </w:r>
          </w:p>
        </w:tc>
        <w:tc>
          <w:tcPr>
            <w:tcW w:w="7371" w:type="dxa"/>
          </w:tcPr>
          <w:p w14:paraId="701838B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 written request to a company or organisation asking for access to the personal information it holds on you;</w:t>
            </w:r>
          </w:p>
        </w:tc>
      </w:tr>
      <w:tr w:rsidR="00D90956" w14:paraId="20420253" w14:textId="77777777">
        <w:tc>
          <w:tcPr>
            <w:tcW w:w="2694" w:type="dxa"/>
          </w:tcPr>
          <w:p w14:paraId="4914824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"Subprocessor"</w:t>
            </w:r>
          </w:p>
        </w:tc>
        <w:tc>
          <w:tcPr>
            <w:tcW w:w="7371" w:type="dxa"/>
          </w:tcPr>
          <w:p w14:paraId="32D7EA3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D90956" w14:paraId="6DB4F1E2" w14:textId="77777777">
        <w:tc>
          <w:tcPr>
            <w:tcW w:w="2694" w:type="dxa"/>
          </w:tcPr>
          <w:p w14:paraId="1F5FEDA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371" w:type="dxa"/>
          </w:tcPr>
          <w:p w14:paraId="3E2D5F7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D90956" w14:paraId="59CE0CC6" w14:textId="77777777">
        <w:tc>
          <w:tcPr>
            <w:tcW w:w="2694" w:type="dxa"/>
          </w:tcPr>
          <w:p w14:paraId="51B0632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71" w:type="dxa"/>
          </w:tcPr>
          <w:p w14:paraId="76D80F40"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D90956" w14:paraId="5FC499EE" w14:textId="77777777">
        <w:tc>
          <w:tcPr>
            <w:tcW w:w="2694" w:type="dxa"/>
          </w:tcPr>
          <w:p w14:paraId="50CCF1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71" w:type="dxa"/>
          </w:tcPr>
          <w:p w14:paraId="616AF84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D90956" w14:paraId="348BA472" w14:textId="77777777">
        <w:tc>
          <w:tcPr>
            <w:tcW w:w="2694" w:type="dxa"/>
            <w:vAlign w:val="center"/>
          </w:tcPr>
          <w:p w14:paraId="1452384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"Supplier Brief"</w:t>
            </w:r>
          </w:p>
        </w:tc>
        <w:tc>
          <w:tcPr>
            <w:tcW w:w="7371" w:type="dxa"/>
            <w:vAlign w:val="center"/>
          </w:tcPr>
          <w:p w14:paraId="31449B3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 xml:space="preserve">a document that the Buyers will provide to Suppliers that outline’s their requirements in order for Suppliers to confirm their intentions to bid (as outlined in Framework Schedule 7 – Call Off Award Procedure) which includes but is not limited to: </w:t>
            </w:r>
          </w:p>
          <w:p w14:paraId="3004182D"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Deliverables required </w:t>
            </w:r>
          </w:p>
          <w:p w14:paraId="282045D9"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Contract Cost</w:t>
            </w:r>
          </w:p>
          <w:p w14:paraId="792464F4"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Geographical</w:t>
            </w:r>
            <w:r>
              <w:rPr>
                <w:rFonts w:ascii="Arial" w:eastAsia="Arial" w:hAnsi="Arial" w:cs="Arial"/>
                <w:sz w:val="24"/>
                <w:szCs w:val="24"/>
              </w:rPr>
              <w:t xml:space="preserve"> </w:t>
            </w:r>
            <w:r>
              <w:rPr>
                <w:rFonts w:ascii="Arial" w:eastAsia="Arial" w:hAnsi="Arial" w:cs="Arial"/>
                <w:color w:val="000000"/>
                <w:sz w:val="24"/>
                <w:szCs w:val="24"/>
              </w:rPr>
              <w:t>Boundary(s) for provision of the Deliverables;</w:t>
            </w:r>
          </w:p>
          <w:p w14:paraId="0441DDA7"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Buyer information;</w:t>
            </w:r>
          </w:p>
          <w:p w14:paraId="6DE110A1"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organisation type;</w:t>
            </w:r>
          </w:p>
          <w:p w14:paraId="6E47DCD5"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building type;</w:t>
            </w:r>
          </w:p>
          <w:p w14:paraId="55EFCA65"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special requirements;</w:t>
            </w:r>
          </w:p>
          <w:p w14:paraId="6B3457A2"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Terms and conditions (Public Sector Contract or NEC);</w:t>
            </w:r>
          </w:p>
          <w:p w14:paraId="5212E4FA"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Contract period;</w:t>
            </w:r>
          </w:p>
          <w:p w14:paraId="39E71FDD"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award date;</w:t>
            </w:r>
          </w:p>
          <w:p w14:paraId="72BE4157"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Mobilisation Period;</w:t>
            </w:r>
          </w:p>
          <w:p w14:paraId="07DDA191"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Price/Quality split;</w:t>
            </w:r>
          </w:p>
          <w:p w14:paraId="5C8BEDFF"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Inclusive Repair Threshold level;</w:t>
            </w:r>
          </w:p>
          <w:p w14:paraId="7F3643EC"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TUPE option;</w:t>
            </w:r>
          </w:p>
          <w:p w14:paraId="5FD8B157"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KPIs;</w:t>
            </w:r>
          </w:p>
          <w:p w14:paraId="17183325"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sz w:val="24"/>
                <w:szCs w:val="24"/>
              </w:rPr>
            </w:pPr>
            <w:r>
              <w:rPr>
                <w:rFonts w:ascii="Arial" w:eastAsia="Arial" w:hAnsi="Arial" w:cs="Arial"/>
                <w:sz w:val="24"/>
                <w:szCs w:val="24"/>
              </w:rPr>
              <w:t>Details of any intended use of eAuctions</w:t>
            </w:r>
          </w:p>
          <w:p w14:paraId="166ED26F" w14:textId="77777777" w:rsidR="00D90956" w:rsidRDefault="00D90956">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D90956" w14:paraId="2D5A0FE2" w14:textId="77777777">
        <w:tc>
          <w:tcPr>
            <w:tcW w:w="2694" w:type="dxa"/>
          </w:tcPr>
          <w:p w14:paraId="6C30852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"Supplier's Confidential Information"</w:t>
            </w:r>
          </w:p>
        </w:tc>
        <w:tc>
          <w:tcPr>
            <w:tcW w:w="7371" w:type="dxa"/>
          </w:tcPr>
          <w:p w14:paraId="1C70030E" w14:textId="77777777" w:rsidR="00D90956" w:rsidRDefault="00D90956">
            <w:pPr>
              <w:pBdr>
                <w:top w:val="nil"/>
                <w:left w:val="nil"/>
                <w:bottom w:val="nil"/>
                <w:right w:val="nil"/>
                <w:between w:val="nil"/>
              </w:pBdr>
              <w:tabs>
                <w:tab w:val="left" w:pos="-576"/>
                <w:tab w:val="left" w:pos="144"/>
              </w:tabs>
              <w:spacing w:after="120"/>
              <w:ind w:left="284" w:right="282"/>
              <w:rPr>
                <w:rFonts w:ascii="Arial" w:eastAsia="Arial" w:hAnsi="Arial" w:cs="Arial"/>
                <w:color w:val="000000"/>
                <w:sz w:val="24"/>
                <w:szCs w:val="24"/>
              </w:rPr>
            </w:pPr>
          </w:p>
          <w:p w14:paraId="1031EF41" w14:textId="77777777" w:rsidR="00D90956" w:rsidRDefault="00185F51">
            <w:pPr>
              <w:numPr>
                <w:ilvl w:val="0"/>
                <w:numId w:val="29"/>
              </w:numPr>
              <w:pBdr>
                <w:top w:val="nil"/>
                <w:left w:val="nil"/>
                <w:bottom w:val="nil"/>
                <w:right w:val="nil"/>
                <w:between w:val="nil"/>
              </w:pBdr>
              <w:tabs>
                <w:tab w:val="left" w:pos="-576"/>
                <w:tab w:val="left" w:pos="144"/>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 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6B448CF" w14:textId="77777777" w:rsidR="00D90956" w:rsidRDefault="00185F51">
            <w:pPr>
              <w:numPr>
                <w:ilvl w:val="0"/>
                <w:numId w:val="29"/>
              </w:numPr>
              <w:pBdr>
                <w:top w:val="nil"/>
                <w:left w:val="nil"/>
                <w:bottom w:val="nil"/>
                <w:right w:val="nil"/>
                <w:between w:val="nil"/>
              </w:pBdr>
              <w:tabs>
                <w:tab w:val="left" w:pos="-576"/>
                <w:tab w:val="left" w:pos="144"/>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D90956" w14:paraId="58DA26CC" w14:textId="77777777">
        <w:tc>
          <w:tcPr>
            <w:tcW w:w="2694" w:type="dxa"/>
          </w:tcPr>
          <w:p w14:paraId="73200D0B" w14:textId="77777777" w:rsidR="00D90956" w:rsidRDefault="00185F51">
            <w:p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"Supplier's Contract Manager</w:t>
            </w:r>
            <w:r>
              <w:rPr>
                <w:rFonts w:ascii="Arial" w:eastAsia="Arial" w:hAnsi="Arial" w:cs="Arial"/>
                <w:b/>
                <w:sz w:val="24"/>
                <w:szCs w:val="24"/>
              </w:rPr>
              <w:t>”</w:t>
            </w:r>
          </w:p>
        </w:tc>
        <w:tc>
          <w:tcPr>
            <w:tcW w:w="7371" w:type="dxa"/>
          </w:tcPr>
          <w:p w14:paraId="2FA144D3" w14:textId="77777777" w:rsidR="00D90956" w:rsidRDefault="00185F51">
            <w:pPr>
              <w:pBdr>
                <w:top w:val="nil"/>
                <w:left w:val="nil"/>
                <w:bottom w:val="nil"/>
                <w:right w:val="nil"/>
                <w:between w:val="nil"/>
              </w:pBdr>
              <w:tabs>
                <w:tab w:val="left" w:pos="1134"/>
              </w:tabs>
              <w:spacing w:before="120" w:after="120"/>
              <w:ind w:left="284" w:right="282"/>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D90956" w14:paraId="1E64BAA7" w14:textId="77777777">
        <w:tc>
          <w:tcPr>
            <w:tcW w:w="2694" w:type="dxa"/>
          </w:tcPr>
          <w:p w14:paraId="440F394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71" w:type="dxa"/>
          </w:tcPr>
          <w:p w14:paraId="1715121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D90956" w14:paraId="1894B4D0" w14:textId="77777777">
        <w:tc>
          <w:tcPr>
            <w:tcW w:w="2694" w:type="dxa"/>
          </w:tcPr>
          <w:p w14:paraId="19596386"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bookmarkStart w:id="13" w:name="_heading=h.gjdgxs" w:colFirst="0" w:colLast="0"/>
            <w:bookmarkEnd w:id="13"/>
            <w:r>
              <w:rPr>
                <w:rFonts w:ascii="Arial" w:eastAsia="Arial" w:hAnsi="Arial" w:cs="Arial"/>
                <w:b/>
                <w:color w:val="000000"/>
                <w:sz w:val="24"/>
                <w:szCs w:val="24"/>
              </w:rPr>
              <w:lastRenderedPageBreak/>
              <w:t>"Supplier Marketing Contact"</w:t>
            </w:r>
          </w:p>
        </w:tc>
        <w:tc>
          <w:tcPr>
            <w:tcW w:w="7371" w:type="dxa"/>
          </w:tcPr>
          <w:p w14:paraId="154BD0C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D90956" w14:paraId="5C87F09D" w14:textId="77777777">
        <w:tc>
          <w:tcPr>
            <w:tcW w:w="2694" w:type="dxa"/>
          </w:tcPr>
          <w:p w14:paraId="1BE95F9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71" w:type="dxa"/>
          </w:tcPr>
          <w:p w14:paraId="6304D70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4BBA2A11" w14:textId="77777777" w:rsidR="00D90956" w:rsidRDefault="00185F51">
            <w:pPr>
              <w:numPr>
                <w:ilvl w:val="1"/>
                <w:numId w:val="18"/>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Achieve a Milestone by its Milestone Date;</w:t>
            </w:r>
          </w:p>
          <w:p w14:paraId="3FECB80D" w14:textId="77777777" w:rsidR="00D90956" w:rsidRDefault="00185F51">
            <w:pPr>
              <w:numPr>
                <w:ilvl w:val="1"/>
                <w:numId w:val="18"/>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provide the Goods and/or Services in accordance with the Service Levels ; and/or</w:t>
            </w:r>
          </w:p>
          <w:p w14:paraId="775D9772" w14:textId="77777777" w:rsidR="00D90956" w:rsidRDefault="00185F51">
            <w:pPr>
              <w:numPr>
                <w:ilvl w:val="1"/>
                <w:numId w:val="18"/>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comply with an obligation under a Contract;</w:t>
            </w:r>
          </w:p>
        </w:tc>
      </w:tr>
      <w:tr w:rsidR="00D90956" w14:paraId="0150C895" w14:textId="77777777">
        <w:tc>
          <w:tcPr>
            <w:tcW w:w="2694" w:type="dxa"/>
          </w:tcPr>
          <w:p w14:paraId="6626AF2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71" w:type="dxa"/>
          </w:tcPr>
          <w:p w14:paraId="7519FEC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D90956" w14:paraId="495C9FF9" w14:textId="77777777">
        <w:tc>
          <w:tcPr>
            <w:tcW w:w="2694" w:type="dxa"/>
          </w:tcPr>
          <w:p w14:paraId="132BA1F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71" w:type="dxa"/>
          </w:tcPr>
          <w:p w14:paraId="0BF1768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D90956" w14:paraId="29AA71B8" w14:textId="77777777">
        <w:tc>
          <w:tcPr>
            <w:tcW w:w="2694" w:type="dxa"/>
          </w:tcPr>
          <w:p w14:paraId="0171F8E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Staff" or “Supplier Personnel”</w:t>
            </w:r>
          </w:p>
        </w:tc>
        <w:tc>
          <w:tcPr>
            <w:tcW w:w="7371" w:type="dxa"/>
          </w:tcPr>
          <w:p w14:paraId="0C656A4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D90956" w14:paraId="415FE7F1" w14:textId="77777777">
        <w:tc>
          <w:tcPr>
            <w:tcW w:w="2694" w:type="dxa"/>
          </w:tcPr>
          <w:p w14:paraId="0AD97BF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“Supply Chain Management”</w:t>
            </w:r>
          </w:p>
        </w:tc>
        <w:tc>
          <w:tcPr>
            <w:tcW w:w="7371" w:type="dxa"/>
          </w:tcPr>
          <w:p w14:paraId="5475AC4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202124"/>
                <w:sz w:val="24"/>
                <w:szCs w:val="24"/>
                <w:highlight w:val="white"/>
              </w:rPr>
              <w:t>is the handling of the entire production flow of a good or service to maximize quality, delivery, customer experience and cost-effectiveness;</w:t>
            </w:r>
          </w:p>
        </w:tc>
      </w:tr>
      <w:tr w:rsidR="00D90956" w14:paraId="2B0BE3B8" w14:textId="77777777">
        <w:tc>
          <w:tcPr>
            <w:tcW w:w="2694" w:type="dxa"/>
          </w:tcPr>
          <w:p w14:paraId="1751E22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71" w:type="dxa"/>
          </w:tcPr>
          <w:p w14:paraId="3B5E486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D90956" w14:paraId="57793A8D" w14:textId="77777777">
        <w:tc>
          <w:tcPr>
            <w:tcW w:w="2694" w:type="dxa"/>
            <w:vAlign w:val="center"/>
          </w:tcPr>
          <w:p w14:paraId="022BD6F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 Pricing Matrix"</w:t>
            </w:r>
          </w:p>
        </w:tc>
        <w:tc>
          <w:tcPr>
            <w:tcW w:w="7371" w:type="dxa"/>
            <w:vAlign w:val="center"/>
          </w:tcPr>
          <w:p w14:paraId="66E1D83B" w14:textId="77777777" w:rsidR="00D90956" w:rsidRDefault="00D90956">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14:paraId="013132DF"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spreadsheet setting out details of the Target Cost Charges which is set out in the Order Form and will be provided by the Buyer at Further Competition;</w:t>
            </w:r>
          </w:p>
        </w:tc>
      </w:tr>
      <w:tr w:rsidR="00D90956" w14:paraId="0379D48B" w14:textId="77777777">
        <w:tc>
          <w:tcPr>
            <w:tcW w:w="2694" w:type="dxa"/>
            <w:vAlign w:val="center"/>
          </w:tcPr>
          <w:p w14:paraId="60C80D2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Costs"</w:t>
            </w:r>
          </w:p>
        </w:tc>
        <w:tc>
          <w:tcPr>
            <w:tcW w:w="7371" w:type="dxa"/>
            <w:vAlign w:val="center"/>
          </w:tcPr>
          <w:p w14:paraId="75ACDBD1"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those costs which are recoverable in accordance with this Call-Off Contract where the target cost pricing option is selected in the Order Form;</w:t>
            </w:r>
          </w:p>
        </w:tc>
      </w:tr>
      <w:tr w:rsidR="00D90956" w14:paraId="7DD53138" w14:textId="77777777">
        <w:tc>
          <w:tcPr>
            <w:tcW w:w="2694" w:type="dxa"/>
            <w:vAlign w:val="center"/>
          </w:tcPr>
          <w:p w14:paraId="73DB96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Price"</w:t>
            </w:r>
          </w:p>
        </w:tc>
        <w:tc>
          <w:tcPr>
            <w:tcW w:w="7371" w:type="dxa"/>
            <w:vAlign w:val="center"/>
          </w:tcPr>
          <w:p w14:paraId="4A280F0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price which is payable where the target cost pricing option is selected in the Order Form;</w:t>
            </w:r>
          </w:p>
        </w:tc>
      </w:tr>
      <w:tr w:rsidR="00D90956" w14:paraId="54A10ED8" w14:textId="77777777">
        <w:tc>
          <w:tcPr>
            <w:tcW w:w="2694" w:type="dxa"/>
          </w:tcPr>
          <w:p w14:paraId="76CE1B9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“Tax”</w:t>
            </w:r>
          </w:p>
        </w:tc>
        <w:tc>
          <w:tcPr>
            <w:tcW w:w="7371" w:type="dxa"/>
          </w:tcPr>
          <w:p w14:paraId="5C055F92"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55305DA6"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3B857B94"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0AE2A12E"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334E0EF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D90956" w14:paraId="05741743" w14:textId="77777777">
        <w:tc>
          <w:tcPr>
            <w:tcW w:w="2694" w:type="dxa"/>
          </w:tcPr>
          <w:p w14:paraId="41C34AA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71" w:type="dxa"/>
          </w:tcPr>
          <w:p w14:paraId="7C1324B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D90956" w14:paraId="19CCA9BA" w14:textId="77777777">
        <w:tc>
          <w:tcPr>
            <w:tcW w:w="2694" w:type="dxa"/>
          </w:tcPr>
          <w:p w14:paraId="51AD21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Issue"</w:t>
            </w:r>
          </w:p>
        </w:tc>
        <w:tc>
          <w:tcPr>
            <w:tcW w:w="7371" w:type="dxa"/>
          </w:tcPr>
          <w:p w14:paraId="79DFCD1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D90956" w14:paraId="36CB142E" w14:textId="77777777">
        <w:tc>
          <w:tcPr>
            <w:tcW w:w="2694" w:type="dxa"/>
          </w:tcPr>
          <w:p w14:paraId="5B98167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371" w:type="dxa"/>
          </w:tcPr>
          <w:p w14:paraId="74A2C18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plan:</w:t>
            </w:r>
          </w:p>
          <w:p w14:paraId="22E719E8" w14:textId="77777777" w:rsidR="00D90956" w:rsidRDefault="00185F51">
            <w:pPr>
              <w:numPr>
                <w:ilvl w:val="1"/>
                <w:numId w:val="8"/>
              </w:numPr>
              <w:pBdr>
                <w:top w:val="nil"/>
                <w:left w:val="nil"/>
                <w:bottom w:val="nil"/>
                <w:right w:val="nil"/>
                <w:between w:val="nil"/>
              </w:pBdr>
              <w:tabs>
                <w:tab w:val="left" w:pos="-576"/>
                <w:tab w:val="left" w:pos="141"/>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16D9A63C" w14:textId="77777777" w:rsidR="00D90956" w:rsidRDefault="00185F51">
            <w:pPr>
              <w:numPr>
                <w:ilvl w:val="1"/>
                <w:numId w:val="8"/>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D90956" w14:paraId="4670508A" w14:textId="77777777">
        <w:tc>
          <w:tcPr>
            <w:tcW w:w="2694" w:type="dxa"/>
          </w:tcPr>
          <w:p w14:paraId="27D1EE0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"Tests "</w:t>
            </w:r>
          </w:p>
        </w:tc>
        <w:tc>
          <w:tcPr>
            <w:tcW w:w="7371" w:type="dxa"/>
          </w:tcPr>
          <w:p w14:paraId="3BA51055"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D90956" w14:paraId="000A412E" w14:textId="77777777">
        <w:tc>
          <w:tcPr>
            <w:tcW w:w="2694" w:type="dxa"/>
          </w:tcPr>
          <w:p w14:paraId="5DCE98C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71" w:type="dxa"/>
          </w:tcPr>
          <w:p w14:paraId="59C89BB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D90956" w14:paraId="0DDC7023" w14:textId="77777777">
        <w:tc>
          <w:tcPr>
            <w:tcW w:w="2694" w:type="dxa"/>
            <w:vAlign w:val="center"/>
          </w:tcPr>
          <w:p w14:paraId="24732DB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One Billable Works"</w:t>
            </w:r>
          </w:p>
        </w:tc>
        <w:tc>
          <w:tcPr>
            <w:tcW w:w="7371" w:type="dxa"/>
            <w:vAlign w:val="center"/>
          </w:tcPr>
          <w:p w14:paraId="71ACD10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0C48BE98" w14:textId="77777777">
        <w:tc>
          <w:tcPr>
            <w:tcW w:w="2694" w:type="dxa"/>
            <w:vAlign w:val="center"/>
          </w:tcPr>
          <w:p w14:paraId="5CC699C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Two Billable Works"</w:t>
            </w:r>
          </w:p>
        </w:tc>
        <w:tc>
          <w:tcPr>
            <w:tcW w:w="7371" w:type="dxa"/>
            <w:vAlign w:val="center"/>
          </w:tcPr>
          <w:p w14:paraId="4A0711F5"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21ECD2D9" w14:textId="77777777">
        <w:tc>
          <w:tcPr>
            <w:tcW w:w="2694" w:type="dxa"/>
            <w:vAlign w:val="center"/>
          </w:tcPr>
          <w:p w14:paraId="5DC497D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Three Billable Works"</w:t>
            </w:r>
          </w:p>
        </w:tc>
        <w:tc>
          <w:tcPr>
            <w:tcW w:w="7371" w:type="dxa"/>
            <w:vAlign w:val="center"/>
          </w:tcPr>
          <w:p w14:paraId="5A02365F"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093493E3" w14:textId="77777777">
        <w:tc>
          <w:tcPr>
            <w:tcW w:w="2694" w:type="dxa"/>
            <w:vAlign w:val="center"/>
          </w:tcPr>
          <w:p w14:paraId="15619DB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"Tier Four Billable Works"</w:t>
            </w:r>
          </w:p>
        </w:tc>
        <w:tc>
          <w:tcPr>
            <w:tcW w:w="7371" w:type="dxa"/>
            <w:vAlign w:val="center"/>
          </w:tcPr>
          <w:p w14:paraId="5CECF30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673943E6" w14:textId="77777777">
        <w:tc>
          <w:tcPr>
            <w:tcW w:w="2694" w:type="dxa"/>
            <w:vAlign w:val="center"/>
          </w:tcPr>
          <w:p w14:paraId="411A295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“Total Contract Value”</w:t>
            </w:r>
          </w:p>
        </w:tc>
        <w:tc>
          <w:tcPr>
            <w:tcW w:w="7371" w:type="dxa"/>
            <w:vAlign w:val="center"/>
          </w:tcPr>
          <w:p w14:paraId="23B16340"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same meaning as “Charges”</w:t>
            </w:r>
          </w:p>
        </w:tc>
      </w:tr>
      <w:tr w:rsidR="00D90956" w14:paraId="5997EA1D" w14:textId="77777777">
        <w:tc>
          <w:tcPr>
            <w:tcW w:w="2694" w:type="dxa"/>
          </w:tcPr>
          <w:p w14:paraId="1AEEAA7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Buyer Employees"</w:t>
            </w:r>
          </w:p>
        </w:tc>
        <w:tc>
          <w:tcPr>
            <w:tcW w:w="7371" w:type="dxa"/>
          </w:tcPr>
          <w:p w14:paraId="510F78B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those employees of the Buyer to whom the Employment Regulations will apply on the Relevant Transfer Date;</w:t>
            </w:r>
          </w:p>
        </w:tc>
      </w:tr>
      <w:tr w:rsidR="00D90956" w14:paraId="14CD57E4" w14:textId="77777777">
        <w:tc>
          <w:tcPr>
            <w:tcW w:w="2694" w:type="dxa"/>
          </w:tcPr>
          <w:p w14:paraId="33FD334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Former Supplier Employees"</w:t>
            </w:r>
          </w:p>
        </w:tc>
        <w:tc>
          <w:tcPr>
            <w:tcW w:w="7371" w:type="dxa"/>
          </w:tcPr>
          <w:p w14:paraId="13A3FA7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Former Supplier, those employees of the Former Supplier to whom the Employment Regulations will apply on the Relevant Transfer Date.</w:t>
            </w:r>
          </w:p>
        </w:tc>
      </w:tr>
      <w:tr w:rsidR="00D90956" w14:paraId="2C7E0649" w14:textId="77777777">
        <w:tc>
          <w:tcPr>
            <w:tcW w:w="2694" w:type="dxa"/>
          </w:tcPr>
          <w:p w14:paraId="24B18E7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71" w:type="dxa"/>
          </w:tcPr>
          <w:p w14:paraId="4AB2128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D90956" w14:paraId="2607BB90" w14:textId="77777777">
        <w:tc>
          <w:tcPr>
            <w:tcW w:w="2694" w:type="dxa"/>
          </w:tcPr>
          <w:p w14:paraId="79C3E34D"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71" w:type="dxa"/>
          </w:tcPr>
          <w:p w14:paraId="6AF3F76F" w14:textId="77777777" w:rsidR="00D90956" w:rsidRDefault="00185F51">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2C683DE9" w14:textId="77777777" w:rsidR="00D90956" w:rsidRDefault="00185F51">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361BCC5E" w14:textId="77777777" w:rsidR="00D90956" w:rsidRDefault="00185F51">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637BF8E1" w14:textId="77777777" w:rsidR="00D90956" w:rsidRDefault="00D90956">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D90956" w14:paraId="5D565C27" w14:textId="77777777">
        <w:tc>
          <w:tcPr>
            <w:tcW w:w="2694" w:type="dxa"/>
          </w:tcPr>
          <w:p w14:paraId="11B3456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71" w:type="dxa"/>
          </w:tcPr>
          <w:p w14:paraId="257A3BD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D90956" w14:paraId="09B2FCC6" w14:textId="77777777">
        <w:tc>
          <w:tcPr>
            <w:tcW w:w="2694" w:type="dxa"/>
          </w:tcPr>
          <w:p w14:paraId="551A3515"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“TUPE”</w:t>
            </w:r>
          </w:p>
        </w:tc>
        <w:tc>
          <w:tcPr>
            <w:tcW w:w="7371" w:type="dxa"/>
          </w:tcPr>
          <w:p w14:paraId="69735C90" w14:textId="77777777" w:rsidR="00D90956" w:rsidRDefault="00185F51">
            <w:pPr>
              <w:ind w:left="284" w:right="282"/>
              <w:rPr>
                <w:rFonts w:ascii="Arial" w:eastAsia="Arial" w:hAnsi="Arial" w:cs="Arial"/>
                <w:color w:val="202124"/>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D90956" w14:paraId="56F7B40A" w14:textId="77777777">
        <w:tc>
          <w:tcPr>
            <w:tcW w:w="2694" w:type="dxa"/>
            <w:vAlign w:val="center"/>
          </w:tcPr>
          <w:p w14:paraId="3297E018"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sz w:val="24"/>
                <w:szCs w:val="24"/>
              </w:rPr>
              <w:t>"</w:t>
            </w:r>
            <w:r>
              <w:rPr>
                <w:rFonts w:ascii="Arial" w:eastAsia="Arial" w:hAnsi="Arial" w:cs="Arial"/>
                <w:b/>
                <w:sz w:val="24"/>
                <w:szCs w:val="24"/>
              </w:rPr>
              <w:t>TUPE Count"</w:t>
            </w:r>
          </w:p>
        </w:tc>
        <w:tc>
          <w:tcPr>
            <w:tcW w:w="7371" w:type="dxa"/>
            <w:vAlign w:val="center"/>
          </w:tcPr>
          <w:p w14:paraId="077CB9FC" w14:textId="77777777" w:rsidR="00D90956" w:rsidRDefault="00185F51">
            <w:pPr>
              <w:ind w:left="284" w:right="282"/>
              <w:rPr>
                <w:rFonts w:ascii="Arial" w:eastAsia="Arial" w:hAnsi="Arial" w:cs="Arial"/>
                <w:color w:val="202124"/>
                <w:sz w:val="24"/>
                <w:szCs w:val="24"/>
              </w:rPr>
            </w:pPr>
            <w:r>
              <w:rPr>
                <w:rFonts w:ascii="Arial" w:eastAsia="Arial" w:hAnsi="Arial" w:cs="Arial"/>
                <w:sz w:val="24"/>
                <w:szCs w:val="24"/>
              </w:rPr>
              <w:t>means the total number of Transferring Former Supplier Employees and/or Transferring Employer Employees identified in the TUPE Information;</w:t>
            </w:r>
          </w:p>
        </w:tc>
      </w:tr>
      <w:tr w:rsidR="00D90956" w14:paraId="1F713E9B" w14:textId="77777777">
        <w:tc>
          <w:tcPr>
            <w:tcW w:w="2694" w:type="dxa"/>
          </w:tcPr>
          <w:p w14:paraId="77C2C603"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w:t>
            </w:r>
          </w:p>
        </w:tc>
        <w:tc>
          <w:tcPr>
            <w:tcW w:w="7371" w:type="dxa"/>
          </w:tcPr>
          <w:p w14:paraId="06334DE4" w14:textId="77777777" w:rsidR="00D90956" w:rsidRDefault="00185F51">
            <w:pPr>
              <w:pBdr>
                <w:top w:val="nil"/>
                <w:left w:val="nil"/>
                <w:bottom w:val="nil"/>
                <w:right w:val="nil"/>
                <w:between w:val="nil"/>
              </w:pBdr>
              <w:tabs>
                <w:tab w:val="left" w:pos="-179"/>
                <w:tab w:val="left" w:pos="175"/>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either the:</w:t>
            </w:r>
          </w:p>
          <w:p w14:paraId="793FCD69" w14:textId="77777777" w:rsidR="00D90956" w:rsidRDefault="00185F51">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Direct Award TUPE Risk Premium</w:t>
            </w:r>
          </w:p>
          <w:p w14:paraId="1FB82E15" w14:textId="77777777" w:rsidR="00D90956" w:rsidRDefault="00185F51">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b)       Further Competition TUPE Risk Premium; or</w:t>
            </w:r>
          </w:p>
          <w:p w14:paraId="77CC95B2" w14:textId="77777777" w:rsidR="00D90956" w:rsidRDefault="00185F51">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Fixed Fee TUPE Risk Premium,</w:t>
            </w:r>
          </w:p>
          <w:p w14:paraId="7E97C519" w14:textId="77777777" w:rsidR="00D90956" w:rsidRDefault="00185F51">
            <w:pPr>
              <w:ind w:left="992" w:right="282" w:hanging="708"/>
              <w:rPr>
                <w:rFonts w:ascii="Arial" w:eastAsia="Arial" w:hAnsi="Arial" w:cs="Arial"/>
                <w:color w:val="202124"/>
                <w:sz w:val="24"/>
                <w:szCs w:val="24"/>
              </w:rPr>
            </w:pPr>
            <w:r>
              <w:rPr>
                <w:rFonts w:ascii="Arial" w:eastAsia="Arial" w:hAnsi="Arial" w:cs="Arial"/>
                <w:sz w:val="24"/>
                <w:szCs w:val="24"/>
              </w:rPr>
              <w:t>as the context requires;</w:t>
            </w:r>
          </w:p>
        </w:tc>
      </w:tr>
      <w:tr w:rsidR="00D90956" w14:paraId="76344F10" w14:textId="77777777">
        <w:tc>
          <w:tcPr>
            <w:tcW w:w="2694" w:type="dxa"/>
          </w:tcPr>
          <w:p w14:paraId="567B70C9"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lastRenderedPageBreak/>
              <w:t>"TUPE Risk Premium Adjustment"</w:t>
            </w:r>
          </w:p>
        </w:tc>
        <w:tc>
          <w:tcPr>
            <w:tcW w:w="7371" w:type="dxa"/>
          </w:tcPr>
          <w:p w14:paraId="58A2BCDD" w14:textId="77777777" w:rsidR="00D90956" w:rsidRDefault="00185F51">
            <w:pPr>
              <w:ind w:left="284" w:right="282"/>
              <w:rPr>
                <w:rFonts w:ascii="Arial" w:eastAsia="Arial" w:hAnsi="Arial" w:cs="Arial"/>
                <w:color w:val="202124"/>
                <w:sz w:val="24"/>
                <w:szCs w:val="24"/>
              </w:rPr>
            </w:pPr>
            <w:r>
              <w:rPr>
                <w:rFonts w:ascii="Arial" w:eastAsia="Arial" w:hAnsi="Arial" w:cs="Arial"/>
                <w:sz w:val="24"/>
                <w:szCs w:val="24"/>
              </w:rPr>
              <w:t>means an adjustment to the Further Competition TUPE Risk Premium;</w:t>
            </w:r>
          </w:p>
        </w:tc>
      </w:tr>
      <w:tr w:rsidR="00D90956" w14:paraId="2FA25F17" w14:textId="77777777">
        <w:tc>
          <w:tcPr>
            <w:tcW w:w="2694" w:type="dxa"/>
          </w:tcPr>
          <w:p w14:paraId="4FC9FE6A"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 Average"</w:t>
            </w:r>
          </w:p>
        </w:tc>
        <w:tc>
          <w:tcPr>
            <w:tcW w:w="7371" w:type="dxa"/>
          </w:tcPr>
          <w:p w14:paraId="44BD5CEA" w14:textId="23956D34" w:rsidR="00D90956" w:rsidRDefault="00185F51" w:rsidP="007E0C7C">
            <w:pPr>
              <w:ind w:left="283" w:right="282" w:firstLine="2"/>
              <w:rPr>
                <w:rFonts w:ascii="Arial" w:eastAsia="Arial" w:hAnsi="Arial" w:cs="Arial"/>
                <w:sz w:val="24"/>
                <w:szCs w:val="24"/>
              </w:rPr>
            </w:pPr>
            <w:r>
              <w:rPr>
                <w:rFonts w:ascii="Arial" w:eastAsia="Arial" w:hAnsi="Arial" w:cs="Arial"/>
                <w:sz w:val="24"/>
                <w:szCs w:val="24"/>
              </w:rPr>
              <w:t>means the average calculated by dividing the Further Competition TUPE Risk Premium by the TUPE Count</w:t>
            </w:r>
          </w:p>
        </w:tc>
      </w:tr>
      <w:tr w:rsidR="00D90956" w14:paraId="43D7EC25" w14:textId="77777777">
        <w:tc>
          <w:tcPr>
            <w:tcW w:w="2694" w:type="dxa"/>
          </w:tcPr>
          <w:p w14:paraId="0326C648"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“United Kingdom”</w:t>
            </w:r>
          </w:p>
        </w:tc>
        <w:tc>
          <w:tcPr>
            <w:tcW w:w="7371" w:type="dxa"/>
          </w:tcPr>
          <w:p w14:paraId="0191723B" w14:textId="77777777" w:rsidR="00D90956" w:rsidRDefault="00185F51">
            <w:pPr>
              <w:ind w:left="284" w:right="282"/>
              <w:rPr>
                <w:rFonts w:ascii="Arial" w:eastAsia="Arial" w:hAnsi="Arial" w:cs="Arial"/>
                <w:color w:val="202124"/>
                <w:sz w:val="24"/>
                <w:szCs w:val="24"/>
              </w:rPr>
            </w:pPr>
            <w:r>
              <w:rPr>
                <w:rFonts w:ascii="Arial" w:eastAsia="Arial" w:hAnsi="Arial" w:cs="Arial"/>
                <w:color w:val="202124"/>
                <w:sz w:val="24"/>
                <w:szCs w:val="24"/>
              </w:rPr>
              <w:t>the country that consists of England, Scotland, Wales, and Northern Ireland</w:t>
            </w:r>
          </w:p>
        </w:tc>
      </w:tr>
      <w:tr w:rsidR="00D90956" w14:paraId="5CB9A40D" w14:textId="77777777">
        <w:tc>
          <w:tcPr>
            <w:tcW w:w="2694" w:type="dxa"/>
          </w:tcPr>
          <w:p w14:paraId="4D8B2672"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“UOM”</w:t>
            </w:r>
          </w:p>
        </w:tc>
        <w:tc>
          <w:tcPr>
            <w:tcW w:w="7371" w:type="dxa"/>
          </w:tcPr>
          <w:p w14:paraId="6E4EB66F" w14:textId="77777777" w:rsidR="00D90956" w:rsidRDefault="00185F51">
            <w:pPr>
              <w:ind w:left="284" w:right="282"/>
              <w:rPr>
                <w:rFonts w:ascii="Arial" w:eastAsia="Arial" w:hAnsi="Arial" w:cs="Arial"/>
                <w:color w:val="202124"/>
                <w:sz w:val="24"/>
                <w:szCs w:val="24"/>
              </w:rPr>
            </w:pPr>
            <w:r>
              <w:rPr>
                <w:rFonts w:ascii="Arial" w:eastAsia="Arial" w:hAnsi="Arial" w:cs="Arial"/>
                <w:sz w:val="24"/>
                <w:szCs w:val="24"/>
              </w:rPr>
              <w:t>the applicable unit of measure as defined in Framework Schedule (Framework Prices)</w:t>
            </w:r>
          </w:p>
        </w:tc>
      </w:tr>
      <w:tr w:rsidR="00D90956" w14:paraId="507BD313" w14:textId="77777777">
        <w:tc>
          <w:tcPr>
            <w:tcW w:w="2694" w:type="dxa"/>
          </w:tcPr>
          <w:p w14:paraId="58D77DEF"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“Value Added Services”</w:t>
            </w:r>
          </w:p>
        </w:tc>
        <w:tc>
          <w:tcPr>
            <w:tcW w:w="7371" w:type="dxa"/>
          </w:tcPr>
          <w:p w14:paraId="5E07134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are features that can be added to a core product to enhance the user experience or a service that could function as a standalone product or feature</w:t>
            </w:r>
          </w:p>
        </w:tc>
      </w:tr>
      <w:tr w:rsidR="00D90956" w14:paraId="56208DA4" w14:textId="77777777">
        <w:tc>
          <w:tcPr>
            <w:tcW w:w="2694" w:type="dxa"/>
          </w:tcPr>
          <w:p w14:paraId="395D6DE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371" w:type="dxa"/>
          </w:tcPr>
          <w:p w14:paraId="504DDCE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change to a core Terms Contract;</w:t>
            </w:r>
          </w:p>
        </w:tc>
      </w:tr>
      <w:tr w:rsidR="00D90956" w14:paraId="5747DFBC" w14:textId="77777777">
        <w:tc>
          <w:tcPr>
            <w:tcW w:w="2694" w:type="dxa"/>
          </w:tcPr>
          <w:p w14:paraId="39E6B2D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71" w:type="dxa"/>
          </w:tcPr>
          <w:p w14:paraId="62685313"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D90956" w14:paraId="1423FC9C" w14:textId="77777777">
        <w:tc>
          <w:tcPr>
            <w:tcW w:w="2694" w:type="dxa"/>
          </w:tcPr>
          <w:p w14:paraId="7B5F155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71" w:type="dxa"/>
          </w:tcPr>
          <w:p w14:paraId="09C2E04F"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D90956" w14:paraId="1440085D" w14:textId="77777777">
        <w:tc>
          <w:tcPr>
            <w:tcW w:w="2694" w:type="dxa"/>
          </w:tcPr>
          <w:p w14:paraId="439EB2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371" w:type="dxa"/>
          </w:tcPr>
          <w:p w14:paraId="3A27644F"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D90956" w14:paraId="1CEB1CA4" w14:textId="77777777">
        <w:tc>
          <w:tcPr>
            <w:tcW w:w="2694" w:type="dxa"/>
          </w:tcPr>
          <w:p w14:paraId="778D8D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371" w:type="dxa"/>
          </w:tcPr>
          <w:p w14:paraId="0C6F17A7"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D90956" w14:paraId="0297E19B" w14:textId="77777777">
        <w:tc>
          <w:tcPr>
            <w:tcW w:w="2694" w:type="dxa"/>
          </w:tcPr>
          <w:p w14:paraId="02B6712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“WCAG Principles”</w:t>
            </w:r>
          </w:p>
        </w:tc>
        <w:tc>
          <w:tcPr>
            <w:tcW w:w="7371" w:type="dxa"/>
          </w:tcPr>
          <w:p w14:paraId="2C20D4FE" w14:textId="77777777" w:rsidR="00D90956" w:rsidRDefault="00185F51">
            <w:pPr>
              <w:tabs>
                <w:tab w:val="left" w:pos="284"/>
              </w:tabs>
              <w:ind w:left="284" w:right="141"/>
              <w:rPr>
                <w:rFonts w:ascii="Arial" w:eastAsia="Arial" w:hAnsi="Arial" w:cs="Arial"/>
                <w:color w:val="000000"/>
                <w:sz w:val="24"/>
                <w:szCs w:val="24"/>
              </w:rPr>
            </w:pPr>
            <w:r>
              <w:rPr>
                <w:rFonts w:ascii="Arial" w:eastAsia="Arial" w:hAnsi="Arial" w:cs="Arial"/>
                <w:color w:val="202124"/>
                <w:sz w:val="24"/>
                <w:szCs w:val="24"/>
                <w:highlight w:val="white"/>
              </w:rPr>
              <w:t>the Web Content Accessibility Guidelines (WCAG) are organized by four main principles, which state that content must be POUR: Perceivable, Operable, Understandable, and Robust. WCAG is the most-referenced set of standards in website accessibility lawsuits and is widely considered the best way to achieve accessibility;</w:t>
            </w:r>
          </w:p>
        </w:tc>
      </w:tr>
      <w:tr w:rsidR="00D90956" w14:paraId="4ABB4BBE" w14:textId="77777777">
        <w:tc>
          <w:tcPr>
            <w:tcW w:w="2694" w:type="dxa"/>
            <w:vAlign w:val="center"/>
          </w:tcPr>
          <w:p w14:paraId="17B6ACCF"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“Waste Hierarchy”</w:t>
            </w:r>
          </w:p>
        </w:tc>
        <w:tc>
          <w:tcPr>
            <w:tcW w:w="7371" w:type="dxa"/>
            <w:vAlign w:val="center"/>
          </w:tcPr>
          <w:p w14:paraId="56104F33" w14:textId="77777777" w:rsidR="00D90956" w:rsidRDefault="00185F51">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has the meaning given to it in the Waste (England and Wales) Regulations 2011, as amended from time to time;</w:t>
            </w:r>
          </w:p>
        </w:tc>
      </w:tr>
      <w:tr w:rsidR="00D90956" w14:paraId="2BCEE9D0" w14:textId="77777777">
        <w:tc>
          <w:tcPr>
            <w:tcW w:w="2694" w:type="dxa"/>
            <w:vAlign w:val="center"/>
          </w:tcPr>
          <w:p w14:paraId="0E55874D"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“Works Arising from Planned Maintenance”</w:t>
            </w:r>
          </w:p>
        </w:tc>
        <w:tc>
          <w:tcPr>
            <w:tcW w:w="7371" w:type="dxa"/>
            <w:vAlign w:val="center"/>
          </w:tcPr>
          <w:p w14:paraId="02344F32" w14:textId="77777777" w:rsidR="00D90956" w:rsidRDefault="00185F51">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means Reactive Maintenance Works identified by either the Supplier or Buyer which are required to be completed. These works may be identified during Planned Maintenance activities, building fabric inspections, audits or other non-reactive activities.</w:t>
            </w:r>
          </w:p>
        </w:tc>
      </w:tr>
      <w:tr w:rsidR="00D90956" w14:paraId="5E07E917" w14:textId="77777777">
        <w:tc>
          <w:tcPr>
            <w:tcW w:w="2694" w:type="dxa"/>
          </w:tcPr>
          <w:p w14:paraId="3BEC905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371" w:type="dxa"/>
          </w:tcPr>
          <w:p w14:paraId="7D69C718"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w:t>
            </w:r>
            <w:r>
              <w:rPr>
                <w:rFonts w:ascii="Arial" w:eastAsia="Arial" w:hAnsi="Arial" w:cs="Arial"/>
                <w:color w:val="000000"/>
                <w:sz w:val="24"/>
                <w:szCs w:val="24"/>
              </w:rPr>
              <w:lastRenderedPageBreak/>
              <w:t>policy-note-0815-tax-arrangements-of-appointees) applies in respect of the Deliverables;</w:t>
            </w:r>
          </w:p>
        </w:tc>
      </w:tr>
      <w:tr w:rsidR="00D90956" w14:paraId="257AAD5A" w14:textId="77777777">
        <w:tc>
          <w:tcPr>
            <w:tcW w:w="2694" w:type="dxa"/>
          </w:tcPr>
          <w:p w14:paraId="7085FD7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7371" w:type="dxa"/>
          </w:tcPr>
          <w:p w14:paraId="5F5A47A0"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D90956" w14:paraId="0A69DE26" w14:textId="77777777">
        <w:tc>
          <w:tcPr>
            <w:tcW w:w="2694" w:type="dxa"/>
          </w:tcPr>
          <w:p w14:paraId="6E59229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Hours"</w:t>
            </w:r>
          </w:p>
        </w:tc>
        <w:tc>
          <w:tcPr>
            <w:tcW w:w="7371" w:type="dxa"/>
          </w:tcPr>
          <w:p w14:paraId="6C9022D0" w14:textId="77777777" w:rsidR="00D90956" w:rsidRDefault="00185F51">
            <w:pPr>
              <w:spacing w:after="120"/>
              <w:ind w:left="360"/>
              <w:rPr>
                <w:rFonts w:ascii="Arial" w:eastAsia="Arial" w:hAnsi="Arial" w:cs="Arial"/>
                <w:color w:val="000000"/>
                <w:sz w:val="24"/>
                <w:szCs w:val="24"/>
              </w:rPr>
            </w:pPr>
            <w:r>
              <w:rPr>
                <w:rFonts w:ascii="Arial" w:eastAsia="Arial" w:hAnsi="Arial" w:cs="Arial"/>
                <w:color w:val="000000"/>
                <w:sz w:val="24"/>
                <w:szCs w:val="24"/>
              </w:rPr>
              <w:t>standard hours of business of the Buyer at each Buyer Premises as defined by the Buyer at Further Competition. </w:t>
            </w:r>
          </w:p>
          <w:p w14:paraId="7094756E"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Operational Working Hours</w:t>
            </w:r>
            <w:r>
              <w:rPr>
                <w:rFonts w:ascii="Arial" w:eastAsia="Arial" w:hAnsi="Arial" w:cs="Arial"/>
                <w:color w:val="000000"/>
                <w:sz w:val="24"/>
                <w:szCs w:val="24"/>
              </w:rPr>
              <w:t>” shall be construed accordingly.</w:t>
            </w:r>
          </w:p>
        </w:tc>
      </w:tr>
      <w:tr w:rsidR="00D90956" w14:paraId="1282B35E" w14:textId="77777777">
        <w:tc>
          <w:tcPr>
            <w:tcW w:w="2694" w:type="dxa"/>
          </w:tcPr>
          <w:p w14:paraId="1A7BFB8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Order”</w:t>
            </w:r>
          </w:p>
        </w:tc>
        <w:tc>
          <w:tcPr>
            <w:tcW w:w="7371" w:type="dxa"/>
          </w:tcPr>
          <w:p w14:paraId="216DF5FD"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means a written instruction by the Buyer to carry out Billable Works. </w:t>
            </w:r>
          </w:p>
        </w:tc>
      </w:tr>
      <w:tr w:rsidR="00D90956" w14:paraId="09886450" w14:textId="77777777">
        <w:tc>
          <w:tcPr>
            <w:tcW w:w="2694" w:type="dxa"/>
          </w:tcPr>
          <w:p w14:paraId="3B27E96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“Written Proposal”</w:t>
            </w:r>
          </w:p>
        </w:tc>
        <w:tc>
          <w:tcPr>
            <w:tcW w:w="7371" w:type="dxa"/>
          </w:tcPr>
          <w:p w14:paraId="0532D0FE"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proposal submitted by the Supplier to the Buyer in accordance with the Further Competition Procedure with Dialogue outlined in Framework Schedule 7 - Call Off Award Procedure.</w:t>
            </w:r>
          </w:p>
        </w:tc>
      </w:tr>
    </w:tbl>
    <w:p w14:paraId="507D01D7" w14:textId="77777777" w:rsidR="00D90956" w:rsidRDefault="00D90956">
      <w:pPr>
        <w:spacing w:after="0" w:line="240" w:lineRule="auto"/>
        <w:rPr>
          <w:rFonts w:ascii="Arial" w:eastAsia="Arial" w:hAnsi="Arial" w:cs="Arial"/>
          <w:sz w:val="24"/>
          <w:szCs w:val="24"/>
        </w:rPr>
      </w:pPr>
    </w:p>
    <w:sectPr w:rsidR="00D9095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626F5" w14:textId="77777777" w:rsidR="00FD5BFE" w:rsidRDefault="00FD5BFE">
      <w:pPr>
        <w:spacing w:after="0" w:line="240" w:lineRule="auto"/>
      </w:pPr>
      <w:r>
        <w:separator/>
      </w:r>
    </w:p>
  </w:endnote>
  <w:endnote w:type="continuationSeparator" w:id="0">
    <w:p w14:paraId="3F6D2126" w14:textId="77777777" w:rsidR="00FD5BFE" w:rsidRDefault="00FD5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C49B" w14:textId="77777777" w:rsidR="00D90956" w:rsidRDefault="00D9095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F9180" w14:textId="77777777" w:rsidR="00D90956" w:rsidRDefault="00185F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4BFDA4DB"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3</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5339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CAA38BA" w14:textId="77777777" w:rsidR="00D90956" w:rsidRDefault="00185F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4BC2" w14:textId="77777777" w:rsidR="00D90956" w:rsidRDefault="00185F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79BD4B75"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6E04BC9D" w14:textId="77777777" w:rsidR="00D90956" w:rsidRDefault="00185F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5377E" w14:textId="77777777" w:rsidR="00FD5BFE" w:rsidRDefault="00FD5BFE">
      <w:pPr>
        <w:spacing w:after="0" w:line="240" w:lineRule="auto"/>
      </w:pPr>
      <w:r>
        <w:separator/>
      </w:r>
    </w:p>
  </w:footnote>
  <w:footnote w:type="continuationSeparator" w:id="0">
    <w:p w14:paraId="34D956A3" w14:textId="77777777" w:rsidR="00FD5BFE" w:rsidRDefault="00FD5B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22FB0" w14:textId="77777777" w:rsidR="00D90956" w:rsidRDefault="00D9095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2C49F"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428DDC0E" w14:textId="77777777" w:rsidR="00D90956" w:rsidRDefault="00185F51">
    <w:pPr>
      <w:rPr>
        <w:rFonts w:ascii="Arial" w:eastAsia="Arial" w:hAnsi="Arial" w:cs="Arial"/>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2021</w:t>
    </w:r>
  </w:p>
  <w:p w14:paraId="573FEC30" w14:textId="77777777" w:rsidR="00D90956" w:rsidRDefault="00185F51">
    <w:pPr>
      <w:rPr>
        <w:rFonts w:ascii="Arial" w:eastAsia="Arial" w:hAnsi="Arial" w:cs="Arial"/>
        <w:color w:val="BFBFBF"/>
        <w:sz w:val="20"/>
        <w:szCs w:val="20"/>
      </w:rPr>
    </w:pPr>
    <w:r>
      <w:rPr>
        <w:rFonts w:ascii="Arial" w:eastAsia="Arial" w:hAnsi="Arial" w:cs="Arial"/>
        <w:sz w:val="20"/>
        <w:szCs w:val="20"/>
      </w:rPr>
      <w:t>OFFICIAL -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DD1B1"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A92468D" w14:textId="77777777" w:rsidR="00D90956" w:rsidRDefault="00185F51">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3BC"/>
    <w:multiLevelType w:val="multilevel"/>
    <w:tmpl w:val="408ED4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03143"/>
    <w:multiLevelType w:val="multilevel"/>
    <w:tmpl w:val="4EFEB8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E306C1A"/>
    <w:multiLevelType w:val="multilevel"/>
    <w:tmpl w:val="CB40CCA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D76D37"/>
    <w:multiLevelType w:val="multilevel"/>
    <w:tmpl w:val="5712D6C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931579"/>
    <w:multiLevelType w:val="multilevel"/>
    <w:tmpl w:val="0AC6CD2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A10AC9"/>
    <w:multiLevelType w:val="multilevel"/>
    <w:tmpl w:val="CBF287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A0113E"/>
    <w:multiLevelType w:val="multilevel"/>
    <w:tmpl w:val="613A6704"/>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7" w15:restartNumberingAfterBreak="0">
    <w:nsid w:val="1E416023"/>
    <w:multiLevelType w:val="multilevel"/>
    <w:tmpl w:val="D62E492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16426C7"/>
    <w:multiLevelType w:val="multilevel"/>
    <w:tmpl w:val="9532477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B468F5"/>
    <w:multiLevelType w:val="multilevel"/>
    <w:tmpl w:val="7C181F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C33A63"/>
    <w:multiLevelType w:val="multilevel"/>
    <w:tmpl w:val="382E88E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983CD2"/>
    <w:multiLevelType w:val="multilevel"/>
    <w:tmpl w:val="1338C2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C967F2"/>
    <w:multiLevelType w:val="multilevel"/>
    <w:tmpl w:val="D8EC84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8EE43CD"/>
    <w:multiLevelType w:val="multilevel"/>
    <w:tmpl w:val="AB06B5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D20373A"/>
    <w:multiLevelType w:val="multilevel"/>
    <w:tmpl w:val="E444B5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F027767"/>
    <w:multiLevelType w:val="multilevel"/>
    <w:tmpl w:val="E16A4A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D66581"/>
    <w:multiLevelType w:val="multilevel"/>
    <w:tmpl w:val="994EAF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887451"/>
    <w:multiLevelType w:val="multilevel"/>
    <w:tmpl w:val="0B4A81B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0C255D"/>
    <w:multiLevelType w:val="multilevel"/>
    <w:tmpl w:val="487C15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8F1014C"/>
    <w:multiLevelType w:val="multilevel"/>
    <w:tmpl w:val="FB64E7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E60B24"/>
    <w:multiLevelType w:val="multilevel"/>
    <w:tmpl w:val="1CBA73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4C3328"/>
    <w:multiLevelType w:val="multilevel"/>
    <w:tmpl w:val="70CEF06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5A0652AA"/>
    <w:multiLevelType w:val="multilevel"/>
    <w:tmpl w:val="097C58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137207"/>
    <w:multiLevelType w:val="multilevel"/>
    <w:tmpl w:val="A0C050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7D1457"/>
    <w:multiLevelType w:val="multilevel"/>
    <w:tmpl w:val="FF40FAC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9E0084A"/>
    <w:multiLevelType w:val="multilevel"/>
    <w:tmpl w:val="7E921CAC"/>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13133D5"/>
    <w:multiLevelType w:val="multilevel"/>
    <w:tmpl w:val="585657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667BD8"/>
    <w:multiLevelType w:val="multilevel"/>
    <w:tmpl w:val="E0B03E8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8" w15:restartNumberingAfterBreak="0">
    <w:nsid w:val="7A7C2952"/>
    <w:multiLevelType w:val="multilevel"/>
    <w:tmpl w:val="AE5445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DA20222"/>
    <w:multiLevelType w:val="multilevel"/>
    <w:tmpl w:val="0AE41AA0"/>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46836592">
    <w:abstractNumId w:val="5"/>
  </w:num>
  <w:num w:numId="2" w16cid:durableId="143939281">
    <w:abstractNumId w:val="16"/>
  </w:num>
  <w:num w:numId="3" w16cid:durableId="1856385316">
    <w:abstractNumId w:val="4"/>
  </w:num>
  <w:num w:numId="4" w16cid:durableId="1139617874">
    <w:abstractNumId w:val="25"/>
  </w:num>
  <w:num w:numId="5" w16cid:durableId="741945823">
    <w:abstractNumId w:val="8"/>
  </w:num>
  <w:num w:numId="6" w16cid:durableId="1505393753">
    <w:abstractNumId w:val="26"/>
  </w:num>
  <w:num w:numId="7" w16cid:durableId="868954182">
    <w:abstractNumId w:val="9"/>
  </w:num>
  <w:num w:numId="8" w16cid:durableId="799882335">
    <w:abstractNumId w:val="12"/>
  </w:num>
  <w:num w:numId="9" w16cid:durableId="1932280462">
    <w:abstractNumId w:val="7"/>
  </w:num>
  <w:num w:numId="10" w16cid:durableId="1938168286">
    <w:abstractNumId w:val="29"/>
  </w:num>
  <w:num w:numId="11" w16cid:durableId="2085254531">
    <w:abstractNumId w:val="28"/>
  </w:num>
  <w:num w:numId="12" w16cid:durableId="639773996">
    <w:abstractNumId w:val="22"/>
  </w:num>
  <w:num w:numId="13" w16cid:durableId="1966811369">
    <w:abstractNumId w:val="14"/>
  </w:num>
  <w:num w:numId="14" w16cid:durableId="425346995">
    <w:abstractNumId w:val="13"/>
  </w:num>
  <w:num w:numId="15" w16cid:durableId="2028631095">
    <w:abstractNumId w:val="15"/>
  </w:num>
  <w:num w:numId="16" w16cid:durableId="843737946">
    <w:abstractNumId w:val="10"/>
  </w:num>
  <w:num w:numId="17" w16cid:durableId="487013689">
    <w:abstractNumId w:val="11"/>
  </w:num>
  <w:num w:numId="18" w16cid:durableId="1601988504">
    <w:abstractNumId w:val="0"/>
  </w:num>
  <w:num w:numId="19" w16cid:durableId="819615090">
    <w:abstractNumId w:val="2"/>
  </w:num>
  <w:num w:numId="20" w16cid:durableId="1409351930">
    <w:abstractNumId w:val="23"/>
  </w:num>
  <w:num w:numId="21" w16cid:durableId="693730049">
    <w:abstractNumId w:val="24"/>
  </w:num>
  <w:num w:numId="22" w16cid:durableId="289558315">
    <w:abstractNumId w:val="6"/>
  </w:num>
  <w:num w:numId="23" w16cid:durableId="2145195085">
    <w:abstractNumId w:val="21"/>
  </w:num>
  <w:num w:numId="24" w16cid:durableId="1408377288">
    <w:abstractNumId w:val="27"/>
  </w:num>
  <w:num w:numId="25" w16cid:durableId="533274413">
    <w:abstractNumId w:val="3"/>
  </w:num>
  <w:num w:numId="26" w16cid:durableId="536503714">
    <w:abstractNumId w:val="17"/>
  </w:num>
  <w:num w:numId="27" w16cid:durableId="2080900205">
    <w:abstractNumId w:val="20"/>
  </w:num>
  <w:num w:numId="28" w16cid:durableId="1204707606">
    <w:abstractNumId w:val="1"/>
  </w:num>
  <w:num w:numId="29" w16cid:durableId="2114350548">
    <w:abstractNumId w:val="19"/>
  </w:num>
  <w:num w:numId="30" w16cid:durableId="1055452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956"/>
    <w:rsid w:val="00072BAC"/>
    <w:rsid w:val="00162E0C"/>
    <w:rsid w:val="00185F51"/>
    <w:rsid w:val="0025339C"/>
    <w:rsid w:val="0049687C"/>
    <w:rsid w:val="00723EFA"/>
    <w:rsid w:val="007E0C7C"/>
    <w:rsid w:val="00D90956"/>
    <w:rsid w:val="00FD5B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B63F3"/>
  <w15:docId w15:val="{0D48EE3B-E6AD-4516-8F93-C98E0B370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widowControl w:val="0"/>
      <w:spacing w:after="220" w:line="240" w:lineRule="auto"/>
      <w:ind w:left="709" w:hanging="709"/>
      <w:jc w:val="both"/>
      <w:outlineLvl w:val="1"/>
    </w:pPr>
    <w:rPr>
      <w:rFonts w:ascii="Trebuchet MS" w:eastAsia="Trebuchet MS" w:hAnsi="Trebuchet MS" w:cs="Trebuchet MS"/>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 w:type="paragraph" w:styleId="Header">
    <w:name w:val="header"/>
    <w:basedOn w:val="Normal"/>
    <w:link w:val="HeaderChar"/>
    <w:uiPriority w:val="99"/>
    <w:semiHidden/>
    <w:unhideWhenUsed/>
    <w:rsid w:val="008E182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E1824"/>
  </w:style>
  <w:style w:type="paragraph" w:styleId="Footer">
    <w:name w:val="footer"/>
    <w:basedOn w:val="Normal"/>
    <w:link w:val="FooterChar"/>
    <w:uiPriority w:val="99"/>
    <w:semiHidden/>
    <w:unhideWhenUsed/>
    <w:rsid w:val="008E182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E1824"/>
  </w:style>
  <w:style w:type="paragraph" w:styleId="Revision">
    <w:name w:val="Revision"/>
    <w:hidden/>
    <w:uiPriority w:val="99"/>
    <w:semiHidden/>
    <w:rsid w:val="00B33581"/>
    <w:pPr>
      <w:spacing w:after="0" w:line="240" w:lineRule="auto"/>
    </w:pPr>
  </w:style>
  <w:style w:type="character" w:styleId="CommentReference">
    <w:name w:val="annotation reference"/>
    <w:basedOn w:val="DefaultParagraphFont"/>
    <w:uiPriority w:val="99"/>
    <w:semiHidden/>
    <w:unhideWhenUsed/>
    <w:rsid w:val="00F05B83"/>
    <w:rPr>
      <w:sz w:val="16"/>
      <w:szCs w:val="16"/>
    </w:rPr>
  </w:style>
  <w:style w:type="paragraph" w:styleId="CommentText">
    <w:name w:val="annotation text"/>
    <w:basedOn w:val="Normal"/>
    <w:link w:val="CommentTextChar"/>
    <w:uiPriority w:val="99"/>
    <w:unhideWhenUsed/>
    <w:rsid w:val="00F05B83"/>
    <w:pPr>
      <w:spacing w:line="240" w:lineRule="auto"/>
    </w:pPr>
    <w:rPr>
      <w:sz w:val="20"/>
      <w:szCs w:val="20"/>
    </w:rPr>
  </w:style>
  <w:style w:type="character" w:customStyle="1" w:styleId="CommentTextChar">
    <w:name w:val="Comment Text Char"/>
    <w:basedOn w:val="DefaultParagraphFont"/>
    <w:link w:val="CommentText"/>
    <w:uiPriority w:val="99"/>
    <w:rsid w:val="00F05B83"/>
    <w:rPr>
      <w:sz w:val="20"/>
      <w:szCs w:val="20"/>
    </w:rPr>
  </w:style>
  <w:style w:type="paragraph" w:styleId="CommentSubject">
    <w:name w:val="annotation subject"/>
    <w:basedOn w:val="CommentText"/>
    <w:next w:val="CommentText"/>
    <w:link w:val="CommentSubjectChar"/>
    <w:uiPriority w:val="99"/>
    <w:semiHidden/>
    <w:unhideWhenUsed/>
    <w:rsid w:val="00F05B83"/>
    <w:rPr>
      <w:b/>
      <w:bCs/>
    </w:rPr>
  </w:style>
  <w:style w:type="character" w:customStyle="1" w:styleId="CommentSubjectChar">
    <w:name w:val="Comment Subject Char"/>
    <w:basedOn w:val="CommentTextChar"/>
    <w:link w:val="CommentSubject"/>
    <w:uiPriority w:val="99"/>
    <w:semiHidden/>
    <w:rsid w:val="00F05B83"/>
    <w:rPr>
      <w:b/>
      <w:bCs/>
      <w:sz w:val="20"/>
      <w:szCs w:val="20"/>
    </w:r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ons.gov.uk/methodology/geography/ukgeographies/eurosta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uidance/ir35-find-out-if-it-appli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UWgfHf/xjq3lVDsFKIMCVVTalA==">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08E3A74-0400-4E45-B01F-65E9DBAF257C}"/>
</file>

<file path=customXml/itemProps3.xml><?xml version="1.0" encoding="utf-8"?>
<ds:datastoreItem xmlns:ds="http://schemas.openxmlformats.org/officeDocument/2006/customXml" ds:itemID="{7070DD46-A266-4C4C-971A-B2C87B4DFAD0}"/>
</file>

<file path=customXml/itemProps4.xml><?xml version="1.0" encoding="utf-8"?>
<ds:datastoreItem xmlns:ds="http://schemas.openxmlformats.org/officeDocument/2006/customXml" ds:itemID="{2E8A49AD-3272-4295-AAFC-196D3F311ACE}"/>
</file>

<file path=docProps/app.xml><?xml version="1.0" encoding="utf-8"?>
<Properties xmlns="http://schemas.openxmlformats.org/officeDocument/2006/extended-properties" xmlns:vt="http://schemas.openxmlformats.org/officeDocument/2006/docPropsVTypes">
  <Template>Normal</Template>
  <TotalTime>10</TotalTime>
  <Pages>50</Pages>
  <Words>14519</Words>
  <Characters>79863</Characters>
  <Application>Microsoft Office Word</Application>
  <DocSecurity>0</DocSecurity>
  <Lines>2258</Lines>
  <Paragraphs>1018</Paragraphs>
  <ScaleCrop>false</ScaleCrop>
  <Company/>
  <LinksUpToDate>false</LinksUpToDate>
  <CharactersWithSpaces>93592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Roberts</dc:creator>
  <cp:lastModifiedBy>Richard Hamflett</cp:lastModifiedBy>
  <cp:revision>5</cp:revision>
  <dcterms:created xsi:type="dcterms:W3CDTF">2025-03-27T08:40:00Z</dcterms:created>
  <dcterms:modified xsi:type="dcterms:W3CDTF">2026-01-16T11:19:00Z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y fmtid="{D5CDD505-2E9C-101B-9397-08002B2CF9AE}" pid="3" name="HOCopyrightLevel">
    <vt:lpwstr>3;#Crown|69589897-2828-4761-976e-717fd8e631c9</vt:lpwstr>
  </property>
  <property fmtid="{D5CDD505-2E9C-101B-9397-08002B2CF9AE}" pid="4" name="HOGovernmentSecurityClassification">
    <vt:lpwstr>2;#Official|14c80daa-741b-422c-9722-f71693c9ede4</vt:lpwstr>
  </property>
  <property fmtid="{D5CDD505-2E9C-101B-9397-08002B2CF9AE}" pid="5" name="HOBusinessUnit">
    <vt:lpwstr>1;#HOPG Core (P)|1a40be58-578e-4048-945d-79155c8f9a87</vt:lpwstr>
  </property>
</Properties>
</file>